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：独立承担防火墙、WAF、RSAS 等安全设备的策略配置、规则调优与故障处置，参与金融/制造业客户等保合规项目交付，覆盖方案落地与验收全流程。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：参与公司"安全运营–AI 赋能专项组"，主导大模型辅助告警分析技术调研：基于 LangChain 搭建本地化 RAG 原型系统，完成日志向量化存储与 Prompt 工程调优，调研报告通过专项组评审并纳入技术方案。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：自主设计规则自动化检查与修复工具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，集成语义检索能力，支撑新员工问题定位。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AI 系统工程（PyTorch / LangChain 全链路，RAG、LoRA/QLoRA 微调、Neo4j 知识图谱）与 AI 安全（攻防、漏洞挖掘）双线并行；熟练使用 [CC] / Codex / DSH / Pi，掌握 MCP 与 Skill 封装。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探索方向：</w:t>
      </w:r>
      <w:r>
        <w:rPr>
          <w:rFonts w:ascii="Noto Sans CJK SC" w:hAnsi="Noto Sans CJK SC" w:eastAsia="Noto Sans CJK SC"/>
          <w:b w:val="0"/>
          <w:sz w:val="18"/>
        </w:rPr>
        <w:t>强化学习（PPO）、AI Agent 开发、模型压缩蒸馏等前沿架构。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命令行代理软件已登记 2025R11L0843188；HOS-Sec-Engine / HOS-Critic-Review / HOS-Vibe-Guard / HOS-LS 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AI 工程化 × 系统安全双栈：既能做 AI 应用全链路，也能定位并修复底层安全问题（OpenSSL、内存泄漏、缓冲区溢出）；向 LlamaFactory、axolotl、trivy、zaproxy 提交的修复 PR 均已合并，自研工具已登记软件著作权。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