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全链路，RAG、LoRA/QLoRA 微调、Neo4j 知识图谱）与 AI 安全（攻防、漏洞挖掘）双线并行；熟练使用 [CC] / Codex / DSH / Pi，掌握 MCP 与 Skill 封装。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知识产权：</w:t>
      </w:r>
      <w:r>
        <w:rPr>
          <w:rFonts w:ascii="Noto Sans CJK SC" w:hAnsi="Noto Sans CJK SC" w:eastAsia="Noto Sans CJK SC"/>
          <w:b w:val="0"/>
          <w:sz w:val="18"/>
        </w:rPr>
        <w:t>软件著作权 5 项（HOSxAI 命令行代理软件已登记 2025R11L0843188；HOS-Sec-Engine / HOS-Critic-Review / HOS-Vibe-Guard / HOS-LS 受理中）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在 AI 应用与系统安全之间做工程落地：习惯先定位根因再动手，交付的东西要能跑、能被验证。向上游项目提交的修复已合并、自研工具通过软著审查，是这套标准的结果——而这种组合在 AI 产品真正落地时，往往缺一不可。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