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：独立承担防火墙、WAF、RSAS 等安全设备的策略配置、规则调优与故障处置，参与金融/制造业客户等保合规项目交付，覆盖方案落地与验收全流程。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：参与公司"安全运营–AI 赋能专项组"，主导大模型辅助告警分析技术调研：基于 LangChain 搭建本地化 RAG 原型系统，完成日志向量化存储与 Prompt 工程调优，调研报告通过专项组评审并纳入技术方案。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：自主设计规则自动化检查与修复工具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，集成语义检索能力，支撑新员工问题定位。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Python / C / Go / Java / Rust 多语言开发（均有已合并 PR）；PyTorch / LangChain 全链路（RAG、LoRA/QLoRA 微调、Neo4j 知识图谱）；MCP 与 Skill 封装，熟练使用 [CC] / Codex / DSH / Pi。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方向：</w:t>
      </w:r>
      <w:r>
        <w:rPr>
          <w:rFonts w:ascii="Noto Sans CJK SC" w:hAnsi="Noto Sans CJK SC" w:eastAsia="Noto Sans CJK SC"/>
          <w:b w:val="0"/>
          <w:sz w:val="18"/>
        </w:rPr>
        <w:t>AI Agent 与工具链开发；强化学习（PPO 已落地）；模型压缩与蒸馏；AI 安全背景。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命令行代理软件已登记 2025R11L0843188；HOS-Sec-Engine / HOS-Critic-Review / HOS-Vibe-Guard / HOS-LS 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在 AI 应用与系统安全之间做工程落地：习惯先定位根因再动手，交付的东西要能跑、能被验证。向上游项目提交的修复已合并、自研工具通过软著审查，是这套标准的结果——而这种组合在 AI 产品真正落地时，往往缺一不可。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最后更新：2026年10月22日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