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pPr>
        <w:spacing w:before="0" w:after="0" w:line="240" w:lineRule="auto"/>
        <w:ind w:firstLineChars="0" w:firstLine="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密级：公开（练习示例）</w:t>
      </w:r>
    </w:p>
    <w:p>
      <w:pPr>
        <w:spacing w:before="0" w:after="0" w:line="240" w:lineRule="auto"/>
        <w:ind w:firstLineChars="0" w:firstLine="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 xml:space="preserve">文件编号：TCU-HW-ICD-001</w:t>
      </w:r>
    </w:p>
    <w:p>
      <w:pPr>
        <w:spacing w:before="12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18"/>
          <w:szCs w:val="18"/>
        </w:rPr>
        <w:t xml:space="preserve">（演示模板，非部门正式模板。进内网后替换为部门正式模板。）</w:t>
      </w:r>
    </w:p>
    <w:p>
      <w:pPr>
        <w:spacing w:before="1200" w:after="0" w:line="240" w:lineRule="auto"/>
        <w:ind w:firstLineChars="0" w:firstLine="0"/>
        <w:jc w:val="center"/>
      </w:pPr>
    </w:p>
    <w:p>
      <w:pPr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6"/>
          <w:szCs w:val="36"/>
        </w:rPr>
        <w:t xml:space="preserve">热控单元软件</w:t>
      </w:r>
    </w:p>
    <w:p>
      <w:pPr>
        <w:spacing w:before="0" w:after="36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 xml:space="preserve">热控单元硬件接口说明（摘录）</w:t>
      </w:r>
    </w:p>
    <w:p>
      <w:pPr>
        <w:spacing w:before="0" w:after="96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版本：V1.0</w:t>
      </w:r>
    </w:p>
    <w:tbl>
      <w:tblPr>
        <w:tblStyle w:val="TableGrid"/>
        <w:tblW w:w="7200" w:type="dxa"/>
        <w:jc w:val="center"/>
        <w:tblLook w:val="04A0"/>
      </w:tblPr>
      <w:tblGrid>
        <w:gridCol w:w="1400"/>
        <w:gridCol w:w="2600"/>
        <w:gridCol w:w="1400"/>
        <w:gridCol w:w="1800"/>
      </w:tblGrid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编写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校对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审核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  <w:tr>
        <w:trPr>
          <w:trHeight w:val="567"/>
        </w:trPr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批准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  <w:tc>
          <w:tcPr>
            <w:tcW w:w="1400" w:type="dxa"/>
          </w:tcPr>
          <w:p>
            <w:pPr>
              <w:spacing w:before="12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日期</w:t>
            </w:r>
          </w:p>
        </w:tc>
        <w:tc>
          <w:tcPr>
            <w:tcW w:w="1800" w:type="dxa"/>
          </w:tcPr>
          <w:p>
            <w:pPr>
              <w:spacing w:before="0" w:after="0" w:line="240" w:lineRule="auto"/>
              <w:ind w:firstLineChars="0" w:firstLine="0"/>
              <w:jc w:val="center"/>
            </w:pPr>
          </w:p>
        </w:tc>
      </w:tr>
    </w:tbl>
    <w:p>
      <w:pPr>
        <w:spacing w:before="960" w:after="0" w:line="240" w:lineRule="auto"/>
        <w:ind w:firstLineChars="0" w:firstLine="0"/>
        <w:jc w:val="center"/>
      </w:pPr>
    </w:p>
    <w:p>
      <w:pPr>
        <w:spacing w:before="0" w:after="12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示例单位</w:t>
      </w:r>
    </w:p>
    <w:p>
      <w:pPr>
        <w:spacing w:before="0" w:after="0" w:line="240" w:lineRule="auto"/>
        <w:ind w:firstLineChars="0" w:firstLine="0"/>
        <w:jc w:val="center"/>
      </w:pPr>
      <w:r>
        <w:rPr>
          <w:rFonts w:ascii="Times New Roman" w:hAnsi="Times New Roman" w:eastAsia="宋体" w:cs="Times New Roman"/>
          <w:sz w:val="28"/>
          <w:szCs w:val="28"/>
        </w:rPr>
        <w:t xml:space="preserve">2026-09-20</w:t>
      </w:r>
    </w:p>
    <w:p>
      <w:pPr>
        <w:pageBreakBefore/>
        <w:spacing w:before="0" w:after="240" w:line="240" w:lineRule="auto"/>
        <w:ind w:firstLineChars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</w:rPr>
        <w:t xml:space="preserve">目　录</w:t>
      </w:r>
    </w:p>
    <w:p>
      <w:pPr>
        <w:pStyle w:val="Normal"/>
        <w:ind w:firstLineChars="0" w:firstLine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（目录：打开文档时选择“是”更新域，或右键此处选择“更新域”）</w:t>
      </w:r>
      <w:r>
        <w:fldChar w:fldCharType="end"/>
      </w:r>
    </w:p>
    <w:p>
      <w:r>
        <w:br w:type="page"/>
      </w:r>
    </w:p>
    <w:p>
      <w:pPr>
        <w:pStyle w:val="Normal"/>
      </w:pPr>
      <w:r>
        <w:t xml:space="preserve">文件编号：TCU-HW-ICD-001　版本：V1.0　日期：2026-09-20</w:t>
      </w:r>
    </w:p>
    <w:p>
      <w:pPr>
        <w:pStyle w:val="Normal"/>
      </w:pPr>
      <w:r>
        <w:t xml:space="preserve">说明：本文件为概要设计练习用的虚构示例，只摘录与软件有关的内容。寄存器均为 32 位，地址为字节地址。</w:t>
      </w:r>
    </w:p>
    <w:p>
      <w:pPr>
        <w:pStyle w:val="Heading1"/>
      </w:pPr>
      <w:r>
        <w:t xml:space="preserve">处理器和存储器</w:t>
      </w:r>
    </w:p>
    <w:p>
      <w:pPr>
        <w:pStyle w:val="Normal"/>
      </w:pPr>
      <w:r>
        <w:rPr>
          <w:b/>
          <w:bCs/>
        </w:rPr>
        <w:t xml:space="preserve">1.1</w:t>
      </w:r>
      <w:r>
        <w:t xml:space="preserve">　处理器为 BM3803（SPARC V8），主频 50 MHz，大端字节序。</w:t>
      </w:r>
    </w:p>
    <w:p>
      <w:pPr>
        <w:pStyle w:val="Normal"/>
      </w:pPr>
      <w:r>
        <w:rPr>
          <w:b/>
          <w:bCs/>
        </w:rPr>
        <w:t xml:space="preserve">1.2</w:t>
      </w:r>
      <w:r>
        <w:t xml:space="preserve">　存储器映射：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480"/>
        <w:gridCol w:w="2338"/>
        <w:gridCol w:w="982"/>
        <w:gridCol w:w="3505"/>
      </w:tblGrid>
      <w:tr>
        <w:trPr>
          <w:tblHeader/>
        </w:trPr>
        <w:tc>
          <w:tcPr>
            <w:tcW w:w="148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区域</w:t>
            </w:r>
          </w:p>
        </w:tc>
        <w:tc>
          <w:tcPr>
            <w:tcW w:w="2338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地址范围</w:t>
            </w:r>
          </w:p>
        </w:tc>
        <w:tc>
          <w:tcPr>
            <w:tcW w:w="982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容量</w:t>
            </w:r>
          </w:p>
        </w:tc>
        <w:tc>
          <w:tcPr>
            <w:tcW w:w="3505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pStyle w:val="TableText"/>
            </w:pPr>
            <w:r>
              <w:t xml:space="preserve">PROM</w:t>
            </w:r>
          </w:p>
        </w:tc>
        <w:tc>
          <w:tcPr>
            <w:tcW w:w="2338" w:type="dxa"/>
          </w:tcPr>
          <w:p>
            <w:pPr>
              <w:pStyle w:val="TableText"/>
            </w:pPr>
            <w:r>
              <w:t xml:space="preserve">0x00000000～0x0007FFFF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t xml:space="preserve">512 KB</w:t>
            </w:r>
          </w:p>
        </w:tc>
        <w:tc>
          <w:tcPr>
            <w:tcW w:w="3505" w:type="dxa"/>
          </w:tcPr>
          <w:p>
            <w:pPr>
              <w:pStyle w:val="TableText"/>
            </w:pPr>
            <w:r>
              <w:t xml:space="preserve">程序存储。上电后由引导程序把程序复制到 SRAM 运行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pStyle w:val="TableText"/>
            </w:pPr>
            <w:r>
              <w:t xml:space="preserve">SRAM</w:t>
            </w:r>
          </w:p>
        </w:tc>
        <w:tc>
          <w:tcPr>
            <w:tcW w:w="2338" w:type="dxa"/>
          </w:tcPr>
          <w:p>
            <w:pPr>
              <w:pStyle w:val="TableText"/>
            </w:pPr>
            <w:r>
              <w:t xml:space="preserve">0x40000000～0x400FFFFF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t xml:space="preserve">1 MB</w:t>
            </w:r>
          </w:p>
        </w:tc>
        <w:tc>
          <w:tcPr>
            <w:tcW w:w="3505" w:type="dxa"/>
          </w:tcPr>
          <w:p>
            <w:pPr>
              <w:pStyle w:val="TableText"/>
            </w:pPr>
            <w:r>
              <w:t xml:space="preserve">程序运行区和数据区，有 EDAC 保护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pStyle w:val="TableText"/>
            </w:pPr>
            <w:r>
              <w:t xml:space="preserve">EEPROM</w:t>
            </w:r>
          </w:p>
        </w:tc>
        <w:tc>
          <w:tcPr>
            <w:tcW w:w="2338" w:type="dxa"/>
          </w:tcPr>
          <w:p>
            <w:pPr>
              <w:pStyle w:val="TableText"/>
            </w:pPr>
            <w:r>
              <w:t xml:space="preserve">0x10000000～0x10007FFF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t xml:space="preserve">32 KB</w:t>
            </w:r>
          </w:p>
        </w:tc>
        <w:tc>
          <w:tcPr>
            <w:tcW w:w="3505" w:type="dxa"/>
          </w:tcPr>
          <w:p>
            <w:pPr>
              <w:pStyle w:val="TableText"/>
            </w:pPr>
            <w:r>
              <w:t xml:space="preserve">参数存储，见第 7 章</w:t>
            </w:r>
          </w:p>
        </w:tc>
      </w:tr>
      <w:tr>
        <w:trPr>
          <w:cantSplit/>
        </w:trPr>
        <w:tc>
          <w:tcPr>
            <w:tcW w:w="1480" w:type="dxa"/>
          </w:tcPr>
          <w:p>
            <w:pPr>
              <w:pStyle w:val="TableText"/>
            </w:pPr>
            <w:r>
              <w:t xml:space="preserve">FPGA 寄存器</w:t>
            </w:r>
          </w:p>
        </w:tc>
        <w:tc>
          <w:tcPr>
            <w:tcW w:w="2338" w:type="dxa"/>
          </w:tcPr>
          <w:p>
            <w:pPr>
              <w:pStyle w:val="TableText"/>
            </w:pPr>
            <w:r>
              <w:t xml:space="preserve">0x20000000～0x200000FF</w:t>
            </w:r>
          </w:p>
        </w:tc>
        <w:tc>
          <w:tcPr>
            <w:tcW w:w="982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505" w:type="dxa"/>
          </w:tcPr>
          <w:p>
            <w:pPr>
              <w:pStyle w:val="TableText"/>
            </w:pPr>
            <w:r>
              <w:t xml:space="preserve">见第 3～6 章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Normal"/>
      </w:pPr>
      <w:r>
        <w:rPr>
          <w:b/>
          <w:bCs/>
        </w:rPr>
        <w:t xml:space="preserve">1.3</w:t>
      </w:r>
      <w:r>
        <w:t xml:space="preserve">　SRAM 的 EDAC：读出时发现单位错误，由硬件纠正后送给处理器，但存储器中的错误数据不会被改写；发现双位错误时产生不可屏蔽中断（IRL 15）。</w:t>
      </w:r>
    </w:p>
    <w:p>
      <w:pPr>
        <w:pStyle w:val="Normal"/>
      </w:pPr>
      <w:r>
        <w:rPr>
          <w:b/>
          <w:bCs/>
        </w:rPr>
        <w:t xml:space="preserve">1.4</w:t>
      </w:r>
      <w:r>
        <w:t xml:space="preserve">　SRAM 读、写一个 32 位字各需 4 个时钟周期。</w:t>
      </w:r>
    </w:p>
    <w:p>
      <w:pPr>
        <w:pStyle w:val="Heading1"/>
      </w:pPr>
      <w:r>
        <w:t xml:space="preserve">中断</w:t>
      </w:r>
    </w:p>
    <w:p>
      <w:pPr>
        <w:pStyle w:val="Normal"/>
      </w:pPr>
      <w:r>
        <w:rPr>
          <w:b/>
          <w:bCs/>
        </w:rPr>
        <w:t xml:space="preserve">2.1</w:t>
      </w:r>
      <w:r>
        <w:t xml:space="preserve">　BM3803 的中断级别为 1～15，15 级最高且不可屏蔽。处理器进入中断服务程序时自动关闭中断；中断服务程序中是否允许更高级别的中断打断，由软件决定。</w:t>
      </w:r>
    </w:p>
    <w:p>
      <w:pPr>
        <w:pStyle w:val="Normal"/>
      </w:pPr>
      <w:r>
        <w:rPr>
          <w:b/>
          <w:bCs/>
        </w:rPr>
        <w:t xml:space="preserve">2.2</w:t>
      </w:r>
      <w:r>
        <w:t xml:space="preserve">　中断分配：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690"/>
        <w:gridCol w:w="640"/>
        <w:gridCol w:w="5976"/>
      </w:tblGrid>
      <w:tr>
        <w:trPr>
          <w:tblHeader/>
        </w:trPr>
        <w:tc>
          <w:tcPr>
            <w:tcW w:w="169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中断源</w:t>
            </w:r>
          </w:p>
        </w:tc>
        <w:tc>
          <w:tcPr>
            <w:tcW w:w="64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级别</w:t>
            </w:r>
          </w:p>
        </w:tc>
        <w:tc>
          <w:tcPr>
            <w:tcW w:w="5976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t xml:space="preserve">定时器 1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BM3803 片内定时器，见第 8 章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t xml:space="preserve">RS422 UART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FPGA 产生，接收中断和发送中断共用，原因见 UART_STAT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t xml:space="preserve">EDAC 双位错误</w:t>
            </w:r>
          </w:p>
        </w:tc>
        <w:tc>
          <w:tcPr>
            <w:tcW w:w="64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5976" w:type="dxa"/>
          </w:tcPr>
          <w:p>
            <w:pPr>
              <w:pStyle w:val="TableText"/>
            </w:pPr>
            <w:r>
              <w:t xml:space="preserve">不可屏蔽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Heading1"/>
      </w:pPr>
      <w:r>
        <w:t xml:space="preserve">RS422 UART 控制器</w:t>
      </w:r>
    </w:p>
    <w:p>
      <w:pPr>
        <w:pStyle w:val="Normal"/>
      </w:pPr>
      <w:r>
        <w:rPr>
          <w:b/>
          <w:bCs/>
        </w:rPr>
        <w:t xml:space="preserve">3.1</w:t>
      </w:r>
      <w:r>
        <w:t xml:space="preserve">　寄存器：</w:t>
      </w:r>
    </w:p>
    <w:tbl>
      <w:tblPr>
        <w:tblStyle w:val="TableGri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0" w:lastColumn="0" w:noHBand="0" w:noVBand="1"/>
      </w:tblPr>
      <w:tblGrid>
        <w:gridCol w:w="1507"/>
        <w:gridCol w:w="1375"/>
        <w:gridCol w:w="1507"/>
        <w:gridCol w:w="3917"/>
      </w:tblGrid>
      <w:tr>
        <w:trPr>
          <w:tblHeader/>
        </w:trPr>
        <w:tc>
          <w:tcPr>
            <w:tcW w:w="1507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地址</w:t>
            </w:r>
          </w:p>
        </w:tc>
        <w:tc>
          <w:tcPr>
            <w:tcW w:w="1375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w="1507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访问</w:t>
            </w:r>
          </w:p>
        </w:tc>
        <w:tc>
          <w:tcPr>
            <w:tcW w:w="3917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pStyle w:val="TableText"/>
            </w:pPr>
            <w:r>
              <w:t xml:space="preserve">0x20000000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UART_DATA</w:t>
            </w:r>
          </w:p>
        </w:tc>
        <w:tc>
          <w:tcPr>
            <w:tcW w:w="1507" w:type="dxa"/>
          </w:tcPr>
          <w:p>
            <w:pPr>
              <w:pStyle w:val="TableText"/>
            </w:pPr>
            <w:r>
              <w:t xml:space="preserve">读/写</w:t>
            </w:r>
          </w:p>
        </w:tc>
        <w:tc>
          <w:tcPr>
            <w:tcW w:w="3917" w:type="dxa"/>
          </w:tcPr>
          <w:p>
            <w:pPr>
              <w:pStyle w:val="TableText"/>
            </w:pPr>
            <w:r>
              <w:t xml:space="preserve">读：从接收 FIFO 取出一个字节；写：写入发送 FIFO 一个字节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pStyle w:val="TableText"/>
            </w:pPr>
            <w:r>
              <w:t xml:space="preserve">0x20000004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UART_STAT</w:t>
            </w:r>
          </w:p>
        </w:tc>
        <w:tc>
          <w:tcPr>
            <w:tcW w:w="1507" w:type="dxa"/>
          </w:tcPr>
          <w:p>
            <w:pPr>
              <w:pStyle w:val="TableText"/>
            </w:pPr>
            <w:r>
              <w:t xml:space="preserve">读/写 1 清除</w:t>
            </w:r>
          </w:p>
        </w:tc>
        <w:tc>
          <w:tcPr>
            <w:tcW w:w="3917" w:type="dxa"/>
          </w:tcPr>
          <w:p>
            <w:pPr>
              <w:pStyle w:val="TableText"/>
            </w:pPr>
            <w:r>
              <w:t xml:space="preserve">bit4～0 RX_CNT：接收 FIFO 中的字节数（0～16）；bit12～8 TX_CNT：发送 FIFO 中的字节数（0～16）；bit16 RX_OVR：接收溢出，写 1 清除；bit17 RX_IRQ、bit18 TX_IRQ：中断原因（只读）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pStyle w:val="TableText"/>
            </w:pPr>
            <w:r>
              <w:t xml:space="preserve">0x20000008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UART_CTRL</w:t>
            </w:r>
          </w:p>
        </w:tc>
        <w:tc>
          <w:tcPr>
            <w:tcW w:w="1507" w:type="dxa"/>
          </w:tcPr>
          <w:p>
            <w:pPr>
              <w:pStyle w:val="TableText"/>
            </w:pPr>
            <w:r>
              <w:t xml:space="preserve">读/写</w:t>
            </w:r>
          </w:p>
        </w:tc>
        <w:tc>
          <w:tcPr>
            <w:tcW w:w="3917" w:type="dxa"/>
          </w:tcPr>
          <w:p>
            <w:pPr>
              <w:pStyle w:val="TableText"/>
            </w:pPr>
            <w:r>
              <w:t xml:space="preserve">bit3～0 RX_TRIG：接收中断门限（1～15）；bit8 RX_IE：接收中断使能；bit9 TX_IE：发送中断使能；bit12～11 PARITY：00 无校验，01 奇校验，10 偶校验</w:t>
            </w:r>
          </w:p>
        </w:tc>
      </w:tr>
      <w:tr>
        <w:trPr>
          <w:cantSplit/>
        </w:trPr>
        <w:tc>
          <w:tcPr>
            <w:tcW w:w="1507" w:type="dxa"/>
          </w:tcPr>
          <w:p>
            <w:pPr>
              <w:pStyle w:val="TableText"/>
            </w:pPr>
            <w:r>
              <w:t xml:space="preserve">0x2000000C</w:t>
            </w:r>
          </w:p>
        </w:tc>
        <w:tc>
          <w:tcPr>
            <w:tcW w:w="1375" w:type="dxa"/>
          </w:tcPr>
          <w:p>
            <w:pPr>
              <w:pStyle w:val="TableText"/>
            </w:pPr>
            <w:r>
              <w:t xml:space="preserve">UART_BAUD</w:t>
            </w:r>
          </w:p>
        </w:tc>
        <w:tc>
          <w:tcPr>
            <w:tcW w:w="1507" w:type="dxa"/>
          </w:tcPr>
          <w:p>
            <w:pPr>
              <w:pStyle w:val="TableText"/>
            </w:pPr>
            <w:r>
              <w:t xml:space="preserve">读/写</w:t>
            </w:r>
          </w:p>
        </w:tc>
        <w:tc>
          <w:tcPr>
            <w:tcW w:w="3917" w:type="dxa"/>
          </w:tcPr>
          <w:p>
            <w:pPr>
              <w:pStyle w:val="TableText"/>
            </w:pPr>
            <w:r>
              <w:t xml:space="preserve">分频值 = 50 MHz ÷（16 × 波特率）− 1，取整</w:t>
            </w:r>
          </w:p>
        </w:tc>
      </w:tr>
    </w:tbl>
    <w:p>
      <w:pPr>
        <w:pStyle w:val="Normal"/>
        <w:spacing w:before="0" w:after="0" w:line="240" w:lineRule="auto"/>
      </w:pPr>
    </w:p>
    <w:p>
      <w:pPr>
        <w:pStyle w:val="Normal"/>
      </w:pPr>
      <w:r>
        <w:rPr>
          <w:b/>
          <w:bCs/>
        </w:rPr>
        <w:t xml:space="preserve">3.2</w:t>
      </w:r>
      <w:r>
        <w:t xml:space="preserve">　接收 FIFO、发送 FIFO 深度各为 16 字节。接收 FIFO 满后再收到的字节被丢弃，并置 RX_OVR。</w:t>
      </w:r>
    </w:p>
    <w:p>
      <w:pPr>
        <w:pStyle w:val="Normal"/>
      </w:pPr>
      <w:r>
        <w:rPr>
          <w:b/>
          <w:bCs/>
        </w:rPr>
        <w:t xml:space="preserve">3.3</w:t>
      </w:r>
      <w:r>
        <w:t xml:space="preserve">　接收中断：接收 FIFO 中的字节数达到 RX_TRIG，或接收 FIFO 非空且连续 4 个字符时间没有收到新字节时产生。发送中断：TX_IE = 1 且发送 FIFO 中的字节数不大于 4 时产生。</w:t>
      </w:r>
    </w:p>
    <w:p>
      <w:pPr>
        <w:pStyle w:val="Normal"/>
      </w:pPr>
      <w:r>
        <w:rPr>
          <w:b/>
          <w:bCs/>
        </w:rPr>
        <w:t xml:space="preserve">3.4</w:t>
      </w:r>
      <w:r>
        <w:t xml:space="preserve">　数据格式为 1 位起始位、8 位数据位、可选校验位、1 位停止位。</w:t>
      </w:r>
    </w:p>
    <w:p>
      <w:pPr>
        <w:pStyle w:val="Heading1"/>
      </w:pPr>
      <w:r>
        <w:t xml:space="preserve">测温</w:t>
      </w:r>
    </w:p>
    <w:p>
      <w:pPr>
        <w:pStyle w:val="Normal"/>
      </w:pPr>
      <w:r>
        <w:rPr>
          <w:b/>
          <w:bCs/>
        </w:rPr>
        <w:t xml:space="preserve">4.1</w:t>
      </w:r>
      <w:r>
        <w:t xml:space="preserve">　32 路热敏电阻经多路开关接入一个 12 位 ADC。向 MUX_SEL（0x20000020）写 0～31 选择通道，写入值 n − 1 对应测温点 Tn。</w:t>
      </w:r>
    </w:p>
    <w:p>
      <w:pPr>
        <w:pStyle w:val="Normal"/>
      </w:pPr>
      <w:r>
        <w:rPr>
          <w:b/>
          <w:bCs/>
        </w:rPr>
        <w:t xml:space="preserve">4.2</w:t>
      </w:r>
      <w:r>
        <w:t xml:space="preserve">　切换通道后，须等待不少于 1 ms（输入滤波电路稳定时间）再启动转换。</w:t>
      </w:r>
    </w:p>
    <w:p>
      <w:pPr>
        <w:pStyle w:val="Normal"/>
      </w:pPr>
      <w:r>
        <w:rPr>
          <w:b/>
          <w:bCs/>
        </w:rPr>
        <w:t xml:space="preserve">4.3</w:t>
      </w:r>
      <w:r>
        <w:t xml:space="preserve">　向 ADC_CTRL（0x20000024）写 1 启动一次转换，转换时间不大于 20 μs。转换完成后 ADC_STAT（0x20000028）bit0 为 1，ADC_DATA（0x2000002C）bit11～0 为转换结果；读 ADC_DATA 后 ADC_STAT bit0 清零。</w:t>
      </w:r>
    </w:p>
    <w:p>
      <w:pPr>
        <w:pStyle w:val="Normal"/>
      </w:pPr>
      <w:r>
        <w:rPr>
          <w:b/>
          <w:bCs/>
        </w:rPr>
        <w:t xml:space="preserve">4.4</w:t>
      </w:r>
      <w:r>
        <w:t xml:space="preserve">　热敏电阻为负温度系数：温度升高时 ADC 原码减小。−40 ℃ 时原码约为 0xF00，+60 ℃ 时约为 0x100。</w:t>
      </w:r>
    </w:p>
    <w:p>
      <w:pPr>
        <w:pStyle w:val="Heading1"/>
      </w:pPr>
      <w:r>
        <w:t xml:space="preserve">加热器</w:t>
      </w:r>
    </w:p>
    <w:p>
      <w:pPr>
        <w:pStyle w:val="Normal"/>
      </w:pPr>
      <w:r>
        <w:rPr>
          <w:b/>
          <w:bCs/>
        </w:rPr>
        <w:t xml:space="preserve">5.1</w:t>
      </w:r>
      <w:r>
        <w:t xml:space="preserve">　HTR_OUT（0x20000040）bit n − 1 对应加热器 Hn（n = 1～16），写 1 接通，写 0 断开；读出值为写入值。</w:t>
      </w:r>
    </w:p>
    <w:p>
      <w:pPr>
        <w:pStyle w:val="Normal"/>
      </w:pPr>
      <w:r>
        <w:rPr>
          <w:b/>
          <w:bCs/>
        </w:rPr>
        <w:t xml:space="preserve">5.2</w:t>
      </w:r>
      <w:r>
        <w:t xml:space="preserve">　HTR_EN（0x20000044）bit0：0 表示全部加热器断开（与 HTR_OUT 的内容无关），1 表示按 HTR_OUT 输出。复位后 HTR_EN 为 0，HTR_OUT 的内容不确定。</w:t>
      </w:r>
    </w:p>
    <w:p>
      <w:pPr>
        <w:pStyle w:val="Normal"/>
      </w:pPr>
      <w:r>
        <w:rPr>
          <w:b/>
          <w:bCs/>
        </w:rPr>
        <w:t xml:space="preserve">5.3</w:t>
      </w:r>
      <w:r>
        <w:t xml:space="preserve">　每路加热器功率 10 W，加热器电源最大输出功率 80 W。</w:t>
      </w:r>
    </w:p>
    <w:p>
      <w:pPr>
        <w:pStyle w:val="Heading1"/>
      </w:pPr>
      <w:r>
        <w:t xml:space="preserve">看门狗</w:t>
      </w:r>
    </w:p>
    <w:p>
      <w:pPr>
        <w:pStyle w:val="Normal"/>
      </w:pPr>
      <w:r>
        <w:rPr>
          <w:b/>
          <w:bCs/>
        </w:rPr>
        <w:t xml:space="preserve">6.1</w:t>
      </w:r>
      <w:r>
        <w:t xml:space="preserve">　看门狗上电后即开始工作，不能关闭。超时时间为 800 ms ± 10%。</w:t>
      </w:r>
    </w:p>
    <w:p>
      <w:pPr>
        <w:pStyle w:val="Normal"/>
      </w:pPr>
      <w:r>
        <w:rPr>
          <w:b/>
          <w:bCs/>
        </w:rPr>
        <w:t xml:space="preserve">6.2</w:t>
      </w:r>
      <w:r>
        <w:t xml:space="preserve">　喂狗方法：向 WDT_FEED（0x20000060）先写 0x55，再写 0xAA，两次写入之间不超过 10 μs。</w:t>
      </w:r>
    </w:p>
    <w:p>
      <w:pPr>
        <w:pStyle w:val="Normal"/>
      </w:pPr>
      <w:r>
        <w:rPr>
          <w:b/>
          <w:bCs/>
        </w:rPr>
        <w:t xml:space="preserve">6.3</w:t>
      </w:r>
      <w:r>
        <w:t xml:space="preserve">　看门狗超时后复位处理器和 FPGA，FPGA 寄存器恢复为复位值。RST_CAUSE（0x20000064）bit0 为 1 表示上电复位，bit1 为 1 表示看门狗复位，写 1 清除。</w:t>
      </w:r>
    </w:p>
    <w:p>
      <w:pPr>
        <w:pStyle w:val="Heading1"/>
      </w:pPr>
      <w:r>
        <w:t xml:space="preserve">EEPROM</w:t>
      </w:r>
    </w:p>
    <w:p>
      <w:pPr>
        <w:pStyle w:val="Normal"/>
      </w:pPr>
      <w:r>
        <w:rPr>
          <w:b/>
          <w:bCs/>
        </w:rPr>
        <w:t xml:space="preserve">7.1</w:t>
      </w:r>
      <w:r>
        <w:t xml:space="preserve">　EEPROM 容量 32 KB，按字节读写，读访问时间 200 ns。</w:t>
      </w:r>
    </w:p>
    <w:p>
      <w:pPr>
        <w:pStyle w:val="Normal"/>
      </w:pPr>
      <w:r>
        <w:rPr>
          <w:b/>
          <w:bCs/>
        </w:rPr>
        <w:t xml:space="preserve">7.2</w:t>
      </w:r>
      <w:r>
        <w:t xml:space="preserve">　写入采用页写方式，每页 64 字节（按 64 字节对齐）。写入一页后进入写周期，写周期最长 10 ms，期间 EE_STAT（0x20000070）bit0（BUSY）为 1，不能读写 EEPROM。</w:t>
      </w:r>
    </w:p>
    <w:p>
      <w:pPr>
        <w:pStyle w:val="Normal"/>
      </w:pPr>
      <w:r>
        <w:rPr>
          <w:b/>
          <w:bCs/>
        </w:rPr>
        <w:t xml:space="preserve">7.3</w:t>
      </w:r>
      <w:r>
        <w:t xml:space="preserve">　控温参数存储区（EEPROM 内的偏移地址）：第一份 0x0000～0x00FF，第二份 0x0100～0x01FF，第三份 0x0200～0x02FF。</w:t>
      </w:r>
    </w:p>
    <w:p>
      <w:pPr>
        <w:pStyle w:val="Heading1"/>
      </w:pPr>
      <w:r>
        <w:t xml:space="preserve">定时器</w:t>
      </w:r>
    </w:p>
    <w:p>
      <w:pPr>
        <w:pStyle w:val="Normal"/>
      </w:pPr>
      <w:r>
        <w:rPr>
          <w:b/>
          <w:bCs/>
        </w:rPr>
        <w:t xml:space="preserve">8.1</w:t>
      </w:r>
      <w:r>
        <w:t xml:space="preserve">　BM3803 片内定时器 1 经预分频后计数时钟为 1 MHz，定时周期 =（重装值 + 1）μs，重装值 0～65535。定时到时产生 8 级中断并自动重装。</w:t>
      </w:r>
    </w:p>
    <w:sectPr>
      <w:headerReference w:type="default" r:id="rId5"/>
      <w:headerReference w:type="first" r:id="rId7"/>
      <w:footerReference w:type="default" r:id="rId6"/>
      <w:footerReference w:type="first" r:id="rId8"/>
      <w:pgSz w:w="11906" w:h="16838"/>
      <w:pgMar w:top="1440" w:right="1800" w:bottom="1440" w:left="1800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fixed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TCU-HW-ICD-001　热控单元硬件接口说明（摘录）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line="240" w:lineRule="auto"/>
      <w:ind w:firstLineChars="0" w:firstLine="0"/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compressPunctuation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style w:type="paragraph" w:default="1" w:styleId="Normal">
    <w:name w:val="Normal"/>
    <w:qFormat/>
    <w:pPr>
      <w:spacing w:line="360" w:lineRule="auto"/>
      <w:ind w:firstLineChars="200" w:firstLine="480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left="0" w:firstLineChars="0" w:firstLine="0"/>
      <w:jc w:val="left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180" w:after="60" w:line="360" w:lineRule="auto"/>
      <w:ind w:left="0" w:firstLineChars="0" w:firstLine="0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120" w:after="60" w:line="360" w:lineRule="auto"/>
      <w:ind w:left="0" w:firstLineChars="0" w:firstLine="0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numPr>
        <w:ilvl w:val="3"/>
        <w:numId w:val="1"/>
      </w:numPr>
      <w:spacing w:before="120" w:after="0" w:line="360" w:lineRule="auto"/>
      <w:ind w:left="0" w:firstLineChars="0" w:firstLine="0"/>
      <w:jc w:val="left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styleId="Title">
    <w:name w:val="Title"/>
    <w:basedOn w:val="Normal"/>
    <w:qFormat/>
    <w:pPr>
      <w:spacing w:before="240" w:after="240"/>
      <w:ind w:firstLineChars="0" w:firstLine="0"/>
      <w:jc w:val="center"/>
    </w:pPr>
    <w:rPr>
      <w:rFonts w:ascii="Times New Roman" w:hAnsi="Times New Roman" w:eastAsia="黑体" w:cs="Times New Roman"/>
      <w:sz w:val="44"/>
      <w:szCs w:val="44"/>
    </w:rPr>
  </w:style>
  <w:style w:type="paragraph" w:styleId="Caption">
    <w:name w:val="caption"/>
    <w:basedOn w:val="Normal"/>
    <w:next w:val="Normal"/>
    <w:qFormat/>
    <w:pPr>
      <w:spacing w:before="60" w:after="60" w:line="240" w:lineRule="auto"/>
      <w:ind w:firstLineChars="0"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customStyle="1" w:styleId="TableText">
    <w:name w:val="表格文字"/>
    <w:basedOn w:val="Normal"/>
    <w:qFormat/>
    <w:pPr>
      <w:spacing w:line="240" w:lineRule="auto"/>
      <w:ind w:firstLineChars="0" w:firstLine="0"/>
      <w:jc w:val="left"/>
    </w:pPr>
    <w:rPr>
      <w:sz w:val="21"/>
      <w:szCs w:val="21"/>
    </w:rPr>
  </w:style>
  <w:style w:type="paragraph" w:customStyle="1" w:styleId="Code">
    <w:name w:val="代码"/>
    <w:basedOn w:val="Normal"/>
    <w:pPr>
      <w:spacing w:line="240" w:lineRule="auto"/>
      <w:ind w:firstLineChars="0" w:firstLine="0"/>
      <w:jc w:val="left"/>
    </w:pPr>
    <w:rPr>
      <w:rFonts w:ascii="Courier New" w:hAnsi="Courier New" w:eastAsia="宋体" w:cs="Courier New"/>
      <w:sz w:val="18"/>
      <w:szCs w:val="18"/>
    </w:rPr>
  </w:style>
  <w:style w:type="paragraph" w:styleId="TOC1">
    <w:name w:val="toc 1"/>
    <w:basedOn w:val="Normal"/>
    <w:next w:val="Normal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Normal"/>
    <w:next w:val="Normal"/>
    <w:pPr>
      <w:tabs>
        <w:tab w:val="right" w:leader="dot" w:pos="8296"/>
      </w:tabs>
      <w:ind w:leftChars="200" w:left="480" w:firstLineChars="0" w:firstLine="0"/>
    </w:pPr>
  </w:style>
  <w:style w:type="paragraph" w:styleId="TOC3">
    <w:name w:val="toc 3"/>
    <w:basedOn w:val="Normal"/>
    <w:next w:val="Normal"/>
    <w:pPr>
      <w:tabs>
        <w:tab w:val="right" w:leader="dot" w:pos="8296"/>
      </w:tabs>
      <w:ind w:leftChars="400" w:left="960" w:firstLineChars="0" w:firstLine="0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ind w:firstLineChars="0" w:firstLine="0"/>
      <w:jc w:val="right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header" Target="header2.xml"/>
<Relationship Id="rId8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>
  <Application>astrolab-agent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演示文档模板</dc:title>
  <dc:creator>astrolab-agent</dc:creator>
</cp:coreProperties>
</file>