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 xmlns:r="http://schemas.openxmlformats.org/officeDocument/2006/relationships" xmlns:mc="http://schemas.openxmlformats.org/markup-compatibility/2006" xmlns:wp="http://schemas.openxmlformats.org/drawingml/2006/wordprocessingDrawing" xmlns:a="http://schemas.openxmlformats.org/drawingml/2006/main" xmlns:wps="http://schemas.microsoft.com/office/word/2010/wordprocessingShape" xmlns:wpg="http://schemas.microsoft.com/office/word/2010/wordprocessingGroup">
  <w:body>
    <w:p>
      <w:pPr>
        <w:spacing w:before="0" w:after="0" w:line="240" w:lineRule="auto"/>
        <w:ind w:firstLineChars="0" w:firstLine="0"/>
        <w:jc w:val="left"/>
      </w:pPr>
      <w:r>
        <w:rPr>
          <w:rFonts w:ascii="Times New Roman" w:hAnsi="Times New Roman" w:eastAsia="宋体" w:cs="Times New Roman"/>
          <w:sz w:val="24"/>
          <w:szCs w:val="24"/>
        </w:rPr>
        <w:t xml:space="preserve">密级：公开（练习示例）</w:t>
      </w:r>
    </w:p>
    <w:p>
      <w:pPr>
        <w:spacing w:before="0" w:after="0" w:line="240" w:lineRule="auto"/>
        <w:ind w:firstLineChars="0" w:firstLine="0"/>
        <w:jc w:val="right"/>
      </w:pPr>
      <w:r>
        <w:rPr>
          <w:rFonts w:ascii="Times New Roman" w:hAnsi="Times New Roman" w:eastAsia="宋体" w:cs="Times New Roman"/>
          <w:sz w:val="24"/>
          <w:szCs w:val="24"/>
        </w:rPr>
        <w:t xml:space="preserve">文件编号：TCUS-SRS-001</w:t>
      </w:r>
    </w:p>
    <w:p>
      <w:pPr>
        <w:spacing w:before="120" w:after="0" w:line="240" w:lineRule="auto"/>
        <w:ind w:firstLineChars="0" w:firstLine="0"/>
        <w:jc w:val="center"/>
      </w:pPr>
      <w:r>
        <w:rPr>
          <w:rFonts w:ascii="Times New Roman" w:hAnsi="Times New Roman" w:eastAsia="宋体" w:cs="Times New Roman"/>
          <w:sz w:val="18"/>
          <w:szCs w:val="18"/>
        </w:rPr>
        <w:t xml:space="preserve">（演示模板，非部门正式模板。进内网后替换为部门正式模板。）</w:t>
      </w:r>
    </w:p>
    <w:p>
      <w:pPr>
        <w:spacing w:before="1200" w:after="0" w:line="240" w:lineRule="auto"/>
        <w:ind w:firstLineChars="0" w:firstLine="0"/>
        <w:jc w:val="center"/>
      </w:pPr>
    </w:p>
    <w:p>
      <w:pPr>
        <w:spacing w:before="0" w:after="240" w:line="240" w:lineRule="auto"/>
        <w:ind w:firstLineChars="0" w:firstLine="0"/>
        <w:jc w:val="center"/>
      </w:pPr>
      <w:r>
        <w:rPr>
          <w:rFonts w:ascii="Times New Roman" w:hAnsi="Times New Roman" w:eastAsia="黑体" w:cs="Times New Roman"/>
          <w:sz w:val="36"/>
          <w:szCs w:val="36"/>
        </w:rPr>
        <w:t xml:space="preserve">热控单元软件</w:t>
      </w:r>
    </w:p>
    <w:p>
      <w:pPr>
        <w:spacing w:before="0" w:after="360" w:line="240" w:lineRule="auto"/>
        <w:ind w:firstLineChars="0" w:firstLine="0"/>
        <w:jc w:val="center"/>
      </w:pPr>
      <w:r>
        <w:rPr>
          <w:rFonts w:ascii="Times New Roman" w:hAnsi="Times New Roman" w:eastAsia="黑体" w:cs="Times New Roman"/>
          <w:sz w:val="44"/>
          <w:szCs w:val="44"/>
        </w:rPr>
        <w:t xml:space="preserve">热控单元软件需求规格说明</w:t>
      </w:r>
    </w:p>
    <w:p>
      <w:pPr>
        <w:spacing w:before="0" w:after="960" w:line="240" w:lineRule="auto"/>
        <w:ind w:firstLineChars="0" w:firstLine="0"/>
        <w:jc w:val="center"/>
      </w:pPr>
      <w:r>
        <w:rPr>
          <w:rFonts w:ascii="Times New Roman" w:hAnsi="Times New Roman" w:eastAsia="宋体" w:cs="Times New Roman"/>
          <w:sz w:val="28"/>
          <w:szCs w:val="28"/>
        </w:rPr>
        <w:t xml:space="preserve">版本：V1.0</w:t>
      </w:r>
    </w:p>
    <w:tbl>
      <w:tblPr>
        <w:tblStyle w:val="TableGrid"/>
        <w:tblW w:w="7200" w:type="dxa"/>
        <w:jc w:val="center"/>
        <w:tblLook w:val="04A0"/>
      </w:tblPr>
      <w:tblGrid>
        <w:gridCol w:w="1400"/>
        <w:gridCol w:w="2600"/>
        <w:gridCol w:w="1400"/>
        <w:gridCol w:w="1800"/>
      </w:tblGrid>
      <w:tr>
        <w:trPr>
          <w:trHeight w:val="567"/>
        </w:trPr>
        <w:tc>
          <w:tcPr>
            <w:tcW w:w="1400" w:type="dxa"/>
          </w:tcPr>
          <w:p>
            <w:pPr>
              <w:spacing w:before="12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 w:cs="Times New Roman"/>
                <w:sz w:val="24"/>
                <w:szCs w:val="24"/>
              </w:rPr>
              <w:t xml:space="preserve">编写</w:t>
            </w:r>
          </w:p>
        </w:tc>
        <w:tc>
          <w:tcPr>
            <w:tcW w:w="2600" w:type="dxa"/>
          </w:tcPr>
          <w:p>
            <w:pPr>
              <w:spacing w:before="0" w:after="0" w:line="240" w:lineRule="auto"/>
              <w:ind w:firstLineChars="0" w:firstLine="0"/>
              <w:jc w:val="center"/>
            </w:pPr>
          </w:p>
        </w:tc>
        <w:tc>
          <w:tcPr>
            <w:tcW w:w="1400" w:type="dxa"/>
          </w:tcPr>
          <w:p>
            <w:pPr>
              <w:spacing w:before="12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 w:cs="Times New Roman"/>
                <w:sz w:val="24"/>
                <w:szCs w:val="24"/>
              </w:rPr>
              <w:t xml:space="preserve">日期</w:t>
            </w:r>
          </w:p>
        </w:tc>
        <w:tc>
          <w:tcPr>
            <w:tcW w:w="1800" w:type="dxa"/>
          </w:tcPr>
          <w:p>
            <w:pPr>
              <w:spacing w:before="0" w:after="0" w:line="240" w:lineRule="auto"/>
              <w:ind w:firstLineChars="0" w:firstLine="0"/>
              <w:jc w:val="center"/>
            </w:pPr>
          </w:p>
        </w:tc>
      </w:tr>
      <w:tr>
        <w:trPr>
          <w:trHeight w:val="567"/>
        </w:trPr>
        <w:tc>
          <w:tcPr>
            <w:tcW w:w="1400" w:type="dxa"/>
          </w:tcPr>
          <w:p>
            <w:pPr>
              <w:spacing w:before="12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 w:cs="Times New Roman"/>
                <w:sz w:val="24"/>
                <w:szCs w:val="24"/>
              </w:rPr>
              <w:t xml:space="preserve">校对</w:t>
            </w:r>
          </w:p>
        </w:tc>
        <w:tc>
          <w:tcPr>
            <w:tcW w:w="2600" w:type="dxa"/>
          </w:tcPr>
          <w:p>
            <w:pPr>
              <w:spacing w:before="0" w:after="0" w:line="240" w:lineRule="auto"/>
              <w:ind w:firstLineChars="0" w:firstLine="0"/>
              <w:jc w:val="center"/>
            </w:pPr>
          </w:p>
        </w:tc>
        <w:tc>
          <w:tcPr>
            <w:tcW w:w="1400" w:type="dxa"/>
          </w:tcPr>
          <w:p>
            <w:pPr>
              <w:spacing w:before="12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 w:cs="Times New Roman"/>
                <w:sz w:val="24"/>
                <w:szCs w:val="24"/>
              </w:rPr>
              <w:t xml:space="preserve">日期</w:t>
            </w:r>
          </w:p>
        </w:tc>
        <w:tc>
          <w:tcPr>
            <w:tcW w:w="1800" w:type="dxa"/>
          </w:tcPr>
          <w:p>
            <w:pPr>
              <w:spacing w:before="0" w:after="0" w:line="240" w:lineRule="auto"/>
              <w:ind w:firstLineChars="0" w:firstLine="0"/>
              <w:jc w:val="center"/>
            </w:pPr>
          </w:p>
        </w:tc>
      </w:tr>
      <w:tr>
        <w:trPr>
          <w:trHeight w:val="567"/>
        </w:trPr>
        <w:tc>
          <w:tcPr>
            <w:tcW w:w="1400" w:type="dxa"/>
          </w:tcPr>
          <w:p>
            <w:pPr>
              <w:spacing w:before="12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 w:cs="Times New Roman"/>
                <w:sz w:val="24"/>
                <w:szCs w:val="24"/>
              </w:rPr>
              <w:t xml:space="preserve">审核</w:t>
            </w:r>
          </w:p>
        </w:tc>
        <w:tc>
          <w:tcPr>
            <w:tcW w:w="2600" w:type="dxa"/>
          </w:tcPr>
          <w:p>
            <w:pPr>
              <w:spacing w:before="0" w:after="0" w:line="240" w:lineRule="auto"/>
              <w:ind w:firstLineChars="0" w:firstLine="0"/>
              <w:jc w:val="center"/>
            </w:pPr>
          </w:p>
        </w:tc>
        <w:tc>
          <w:tcPr>
            <w:tcW w:w="1400" w:type="dxa"/>
          </w:tcPr>
          <w:p>
            <w:pPr>
              <w:spacing w:before="12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 w:cs="Times New Roman"/>
                <w:sz w:val="24"/>
                <w:szCs w:val="24"/>
              </w:rPr>
              <w:t xml:space="preserve">日期</w:t>
            </w:r>
          </w:p>
        </w:tc>
        <w:tc>
          <w:tcPr>
            <w:tcW w:w="1800" w:type="dxa"/>
          </w:tcPr>
          <w:p>
            <w:pPr>
              <w:spacing w:before="0" w:after="0" w:line="240" w:lineRule="auto"/>
              <w:ind w:firstLineChars="0" w:firstLine="0"/>
              <w:jc w:val="center"/>
            </w:pPr>
          </w:p>
        </w:tc>
      </w:tr>
      <w:tr>
        <w:trPr>
          <w:trHeight w:val="567"/>
        </w:trPr>
        <w:tc>
          <w:tcPr>
            <w:tcW w:w="1400" w:type="dxa"/>
          </w:tcPr>
          <w:p>
            <w:pPr>
              <w:spacing w:before="12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 w:cs="Times New Roman"/>
                <w:sz w:val="24"/>
                <w:szCs w:val="24"/>
              </w:rPr>
              <w:t xml:space="preserve">批准</w:t>
            </w:r>
          </w:p>
        </w:tc>
        <w:tc>
          <w:tcPr>
            <w:tcW w:w="2600" w:type="dxa"/>
          </w:tcPr>
          <w:p>
            <w:pPr>
              <w:spacing w:before="0" w:after="0" w:line="240" w:lineRule="auto"/>
              <w:ind w:firstLineChars="0" w:firstLine="0"/>
              <w:jc w:val="center"/>
            </w:pPr>
          </w:p>
        </w:tc>
        <w:tc>
          <w:tcPr>
            <w:tcW w:w="1400" w:type="dxa"/>
          </w:tcPr>
          <w:p>
            <w:pPr>
              <w:spacing w:before="12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 w:cs="Times New Roman"/>
                <w:sz w:val="24"/>
                <w:szCs w:val="24"/>
              </w:rPr>
              <w:t xml:space="preserve">日期</w:t>
            </w:r>
          </w:p>
        </w:tc>
        <w:tc>
          <w:tcPr>
            <w:tcW w:w="1800" w:type="dxa"/>
          </w:tcPr>
          <w:p>
            <w:pPr>
              <w:spacing w:before="0" w:after="0" w:line="240" w:lineRule="auto"/>
              <w:ind w:firstLineChars="0" w:firstLine="0"/>
              <w:jc w:val="center"/>
            </w:pPr>
          </w:p>
        </w:tc>
      </w:tr>
    </w:tbl>
    <w:p>
      <w:pPr>
        <w:spacing w:before="960" w:after="0" w:line="240" w:lineRule="auto"/>
        <w:ind w:firstLineChars="0" w:firstLine="0"/>
        <w:jc w:val="center"/>
      </w:pPr>
    </w:p>
    <w:p>
      <w:pPr>
        <w:spacing w:before="0" w:after="120" w:line="240" w:lineRule="auto"/>
        <w:ind w:firstLineChars="0" w:firstLine="0"/>
        <w:jc w:val="center"/>
      </w:pPr>
      <w:r>
        <w:rPr>
          <w:rFonts w:ascii="Times New Roman" w:hAnsi="Times New Roman" w:eastAsia="宋体" w:cs="Times New Roman"/>
          <w:sz w:val="28"/>
          <w:szCs w:val="28"/>
        </w:rPr>
        <w:t xml:space="preserve">示例单位</w:t>
      </w:r>
    </w:p>
    <w:p>
      <w:pPr>
        <w:spacing w:before="0" w:after="0" w:line="240" w:lineRule="auto"/>
        <w:ind w:firstLineChars="0" w:firstLine="0"/>
        <w:jc w:val="center"/>
      </w:pPr>
      <w:r>
        <w:rPr>
          <w:rFonts w:ascii="Times New Roman" w:hAnsi="Times New Roman" w:eastAsia="宋体" w:cs="Times New Roman"/>
          <w:sz w:val="28"/>
          <w:szCs w:val="28"/>
        </w:rPr>
        <w:t xml:space="preserve">2026-10-10</w:t>
      </w:r>
    </w:p>
    <w:p>
      <w:pPr>
        <w:pageBreakBefore/>
        <w:spacing w:before="0" w:after="240" w:line="240" w:lineRule="auto"/>
        <w:ind w:firstLineChars="0" w:firstLine="0"/>
        <w:jc w:val="center"/>
      </w:pPr>
      <w:r>
        <w:rPr>
          <w:rFonts w:ascii="Times New Roman" w:hAnsi="Times New Roman" w:eastAsia="黑体" w:cs="Times New Roman"/>
          <w:sz w:val="32"/>
          <w:szCs w:val="32"/>
        </w:rPr>
        <w:t xml:space="preserve">目　录</w:t>
      </w:r>
    </w:p>
    <w:p>
      <w:pPr>
        <w:pStyle w:val="Normal"/>
        <w:ind w:firstLineChars="0" w:firstLine="0"/>
      </w:pPr>
      <w:r>
        <w:fldChar w:fldCharType="begin" w:dirty="true"/>
      </w:r>
      <w:r>
        <w:instrText xml:space="preserve"> TOC \o "1-3" \h \z \u </w:instrText>
      </w:r>
      <w:r>
        <w:fldChar w:fldCharType="separate"/>
      </w:r>
      <w:r>
        <w:t>（目录：打开文档时选择“是”更新域，或右键此处选择“更新域”）</w:t>
      </w:r>
      <w:r>
        <w:fldChar w:fldCharType="end"/>
      </w:r>
    </w:p>
    <w:p>
      <w:r>
        <w:br w:type="page"/>
      </w:r>
    </w:p>
    <w:p>
      <w:pPr>
        <w:pStyle w:val="Normal"/>
      </w:pPr>
      <w:r>
        <w:t xml:space="preserve">文件编号：TCUS-SRS-001　版本：V1.0　日期：2026-10-10</w:t>
      </w:r>
    </w:p>
    <w:p>
      <w:pPr>
        <w:pStyle w:val="Normal"/>
      </w:pPr>
      <w:r>
        <w:t xml:space="preserve">说明：本文件为概要设计练习用的虚构示例，内容经过简化。</w:t>
      </w:r>
    </w:p>
    <w:p>
      <w:pPr>
        <w:pStyle w:val="Heading1"/>
        <w:numPr>
          <w:ilvl w:val="0"/>
          <w:numId w:val="0"/>
        </w:numPr>
      </w:pPr>
      <w:r>
        <w:t xml:space="preserve">1 范围</w:t>
      </w:r>
    </w:p>
    <w:p>
      <w:pPr>
        <w:pStyle w:val="Heading2"/>
        <w:numPr>
          <w:ilvl w:val="0"/>
          <w:numId w:val="0"/>
        </w:numPr>
      </w:pPr>
      <w:r>
        <w:t xml:space="preserve">1.1 标识</w:t>
      </w:r>
    </w:p>
    <w:p>
      <w:pPr>
        <w:pStyle w:val="Normal"/>
      </w:pPr>
      <w:r>
        <w:t xml:space="preserve">软件名称：热控单元软件；软件简称：TCUS；版本：V1.0；运行处理器：BM3803（SPARC V8）。</w:t>
      </w:r>
    </w:p>
    <w:p>
      <w:pPr>
        <w:pStyle w:val="Heading2"/>
        <w:numPr>
          <w:ilvl w:val="0"/>
          <w:numId w:val="0"/>
        </w:numPr>
      </w:pPr>
      <w:r>
        <w:t xml:space="preserve">1.2 系统概述</w:t>
      </w:r>
    </w:p>
    <w:p>
      <w:pPr>
        <w:pStyle w:val="Normal"/>
      </w:pPr>
      <w:r>
        <w:t xml:space="preserve">热控单元安装在卫星载荷舱内，采集 32 路测温点的温度，控制 16 路加热器，使载荷设备保持在规定的温度范围内。热控单元通过一路 RS422 异步串口与平台数管计算机通信，接收遥控指令和控温参数上注，应答遥测查询。</w:t>
      </w:r>
    </w:p>
    <w:p>
      <w:pPr>
        <w:pStyle w:val="Normal"/>
      </w:pPr>
      <w:r>
        <w:t xml:space="preserve">热控单元的硬件接口见《热控单元硬件接口说明》（TCU-HW-ICD-001），与平台的通信协议见《热控单元与平台通信协议》（TCU-PLT-ICD-002）。</w:t>
      </w:r>
    </w:p>
    <w:p>
      <w:pPr>
        <w:pStyle w:val="Heading1"/>
        <w:numPr>
          <w:ilvl w:val="0"/>
          <w:numId w:val="0"/>
        </w:numPr>
      </w:pPr>
      <w:r>
        <w:t xml:space="preserve">2 引用文档</w:t>
      </w:r>
    </w:p>
    <w:tbl>
      <w:tblPr>
        <w:tblStyle w:val="TableGrid"/>
        <w:tblW w:w="5000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85" w:type="dxa"/>
          <w:right w:w="85" w:type="dxa"/>
        </w:tblCellMar>
        <w:tblLook w:val="04A0" w:firstRow="1" w:lastRow="0" w:firstColumn="0" w:lastColumn="0" w:noHBand="0" w:noVBand="1"/>
      </w:tblPr>
      <w:tblGrid>
        <w:gridCol w:w="3092"/>
        <w:gridCol w:w="4494"/>
        <w:gridCol w:w="719"/>
      </w:tblGrid>
      <w:tr>
        <w:trPr>
          <w:tblHeader/>
        </w:trPr>
        <w:tc>
          <w:tcPr>
            <w:tcW w:w="3092" w:type="dxa"/>
            <w:vAlign w:val="center"/>
          </w:tcPr>
          <w:p>
            <w:pPr>
              <w:pStyle w:val="TableText"/>
              <w:jc w:val="center"/>
            </w:pPr>
            <w:r>
              <w:rPr>
                <w:b/>
                <w:bCs/>
              </w:rPr>
              <w:t xml:space="preserve">编号</w:t>
            </w:r>
          </w:p>
        </w:tc>
        <w:tc>
          <w:tcPr>
            <w:tcW w:w="4494" w:type="dxa"/>
            <w:vAlign w:val="center"/>
          </w:tcPr>
          <w:p>
            <w:pPr>
              <w:pStyle w:val="TableText"/>
              <w:jc w:val="center"/>
            </w:pPr>
            <w:r>
              <w:rPr>
                <w:b/>
                <w:bCs/>
              </w:rPr>
              <w:t xml:space="preserve">名称</w:t>
            </w:r>
          </w:p>
        </w:tc>
        <w:tc>
          <w:tcPr>
            <w:tcW w:w="719" w:type="dxa"/>
            <w:vAlign w:val="center"/>
          </w:tcPr>
          <w:p>
            <w:pPr>
              <w:pStyle w:val="TableText"/>
              <w:jc w:val="center"/>
            </w:pPr>
            <w:r>
              <w:rPr>
                <w:b/>
                <w:bCs/>
              </w:rPr>
              <w:t xml:space="preserve">版本</w:t>
            </w:r>
          </w:p>
        </w:tc>
      </w:tr>
      <w:tr>
        <w:trPr>
          <w:cantSplit/>
        </w:trPr>
        <w:tc>
          <w:tcPr>
            <w:tcW w:w="3092" w:type="dxa"/>
          </w:tcPr>
          <w:p>
            <w:pPr>
              <w:pStyle w:val="TableText"/>
            </w:pPr>
            <w:r>
              <w:t xml:space="preserve">TCU-RWS-001</w:t>
            </w:r>
          </w:p>
        </w:tc>
        <w:tc>
          <w:tcPr>
            <w:tcW w:w="4494" w:type="dxa"/>
          </w:tcPr>
          <w:p>
            <w:pPr>
              <w:pStyle w:val="TableText"/>
            </w:pPr>
            <w:r>
              <w:t xml:space="preserve">热控单元软件研制任务书</w:t>
            </w:r>
          </w:p>
        </w:tc>
        <w:tc>
          <w:tcPr>
            <w:tcW w:w="719" w:type="dxa"/>
          </w:tcPr>
          <w:p>
            <w:pPr>
              <w:pStyle w:val="TableText"/>
            </w:pPr>
            <w:r>
              <w:t xml:space="preserve">V1.0</w:t>
            </w:r>
          </w:p>
        </w:tc>
      </w:tr>
      <w:tr>
        <w:trPr>
          <w:cantSplit/>
        </w:trPr>
        <w:tc>
          <w:tcPr>
            <w:tcW w:w="3092" w:type="dxa"/>
          </w:tcPr>
          <w:p>
            <w:pPr>
              <w:pStyle w:val="TableText"/>
            </w:pPr>
            <w:r>
              <w:t xml:space="preserve">TCU-HW-ICD-001</w:t>
            </w:r>
          </w:p>
        </w:tc>
        <w:tc>
          <w:tcPr>
            <w:tcW w:w="4494" w:type="dxa"/>
          </w:tcPr>
          <w:p>
            <w:pPr>
              <w:pStyle w:val="TableText"/>
            </w:pPr>
            <w:r>
              <w:t xml:space="preserve">热控单元硬件接口说明</w:t>
            </w:r>
          </w:p>
        </w:tc>
        <w:tc>
          <w:tcPr>
            <w:tcW w:w="719" w:type="dxa"/>
          </w:tcPr>
          <w:p>
            <w:pPr>
              <w:pStyle w:val="TableText"/>
            </w:pPr>
            <w:r>
              <w:t xml:space="preserve">V1.0</w:t>
            </w:r>
          </w:p>
        </w:tc>
      </w:tr>
      <w:tr>
        <w:trPr>
          <w:cantSplit/>
        </w:trPr>
        <w:tc>
          <w:tcPr>
            <w:tcW w:w="3092" w:type="dxa"/>
          </w:tcPr>
          <w:p>
            <w:pPr>
              <w:pStyle w:val="TableText"/>
            </w:pPr>
            <w:r>
              <w:t xml:space="preserve">TCU-PLT-ICD-002</w:t>
            </w:r>
          </w:p>
        </w:tc>
        <w:tc>
          <w:tcPr>
            <w:tcW w:w="4494" w:type="dxa"/>
          </w:tcPr>
          <w:p>
            <w:pPr>
              <w:pStyle w:val="TableText"/>
            </w:pPr>
            <w:r>
              <w:t xml:space="preserve">热控单元与平台通信协议</w:t>
            </w:r>
          </w:p>
        </w:tc>
        <w:tc>
          <w:tcPr>
            <w:tcW w:w="719" w:type="dxa"/>
          </w:tcPr>
          <w:p>
            <w:pPr>
              <w:pStyle w:val="TableText"/>
            </w:pPr>
            <w:r>
              <w:t xml:space="preserve">V1.1</w:t>
            </w:r>
          </w:p>
        </w:tc>
      </w:tr>
    </w:tbl>
    <w:p>
      <w:pPr>
        <w:pStyle w:val="Normal"/>
        <w:spacing w:before="0" w:after="0" w:line="240" w:lineRule="auto"/>
      </w:pPr>
    </w:p>
    <w:p>
      <w:pPr>
        <w:pStyle w:val="Heading1"/>
        <w:numPr>
          <w:ilvl w:val="0"/>
          <w:numId w:val="0"/>
        </w:numPr>
      </w:pPr>
      <w:r>
        <w:t xml:space="preserve">3 需求</w:t>
      </w:r>
    </w:p>
    <w:p>
      <w:pPr>
        <w:pStyle w:val="Heading2"/>
        <w:numPr>
          <w:ilvl w:val="0"/>
          <w:numId w:val="0"/>
        </w:numPr>
      </w:pPr>
      <w:r>
        <w:t xml:space="preserve">3.1 状态和模式</w:t>
      </w:r>
    </w:p>
    <w:p>
      <w:pPr>
        <w:pStyle w:val="Normal"/>
      </w:pPr>
      <w:r>
        <w:rPr>
          <w:b/>
          <w:bCs/>
        </w:rPr>
        <w:t xml:space="preserve">TCUS-MOD-001</w:t>
      </w:r>
      <w:r>
        <w:t xml:space="preserve">　上电或复位后，软件应在 2 s 内完成初始化并进入自主控温模式。初始化完成前，所有加热器应处于断开状态。</w:t>
      </w:r>
    </w:p>
    <w:p>
      <w:pPr>
        <w:pStyle w:val="Normal"/>
      </w:pPr>
      <w:r>
        <w:rPr>
          <w:b/>
          <w:bCs/>
        </w:rPr>
        <w:t xml:space="preserve">TCUS-MOD-002</w:t>
      </w:r>
      <w:r>
        <w:t xml:space="preserve">　软件有自主控温模式和遥控模式两种工作模式。自主控温模式下，软件按控温参数自动控制加热器；遥控模式下，软件不进行自主控温，加热器只按遥控指令接通或断开。工作模式由遥控指令切换。</w:t>
      </w:r>
    </w:p>
    <w:p>
      <w:pPr>
        <w:pStyle w:val="Heading2"/>
        <w:numPr>
          <w:ilvl w:val="0"/>
          <w:numId w:val="0"/>
        </w:numPr>
      </w:pPr>
      <w:r>
        <w:t xml:space="preserve">3.2 能力需求</w:t>
      </w:r>
    </w:p>
    <w:p>
      <w:pPr>
        <w:pStyle w:val="Heading3"/>
        <w:numPr>
          <w:ilvl w:val="0"/>
          <w:numId w:val="0"/>
        </w:numPr>
      </w:pPr>
      <w:r>
        <w:t xml:space="preserve">3.2.1 温度采集</w:t>
      </w:r>
    </w:p>
    <w:p>
      <w:pPr>
        <w:pStyle w:val="Normal"/>
      </w:pPr>
      <w:r>
        <w:rPr>
          <w:b/>
          <w:bCs/>
        </w:rPr>
        <w:t xml:space="preserve">TCUS-FUN-001</w:t>
      </w:r>
      <w:r>
        <w:t xml:space="preserve">　软件应每 1 s 完成一轮 32 路测温点 T1～T32 的采集。每路连续采样 4 次，去掉最大值和最小值，取其余 2 次的平均值作为该路本轮的测量值（ADC 原码）。</w:t>
      </w:r>
    </w:p>
    <w:p>
      <w:pPr>
        <w:pStyle w:val="Normal"/>
      </w:pPr>
      <w:r>
        <w:rPr>
          <w:b/>
          <w:bCs/>
        </w:rPr>
        <w:t xml:space="preserve">TCUS-FUN-002</w:t>
      </w:r>
      <w:r>
        <w:t xml:space="preserve">　测量值小于 0x010 或大于 0xFEF 时，判该测温点故障，置该路的测温点故障标志；测量值恢复到上述范围以内时，清除故障标志。</w:t>
      </w:r>
    </w:p>
    <w:p>
      <w:pPr>
        <w:pStyle w:val="Heading3"/>
        <w:numPr>
          <w:ilvl w:val="0"/>
          <w:numId w:val="0"/>
        </w:numPr>
      </w:pPr>
      <w:r>
        <w:t xml:space="preserve">3.2.2 自主控温</w:t>
      </w:r>
    </w:p>
    <w:p>
      <w:pPr>
        <w:pStyle w:val="Normal"/>
      </w:pPr>
      <w:r>
        <w:rPr>
          <w:b/>
          <w:bCs/>
        </w:rPr>
        <w:t xml:space="preserve">TCUS-FUN-010</w:t>
      </w:r>
      <w:r>
        <w:t xml:space="preserve">　自主控温模式下，软件每 1 s 对加热器 H1～H16 各进行一次控温：控温点温度低于下限阈值时接通该路加热器，高于上限阈值时断开，介于两者之间时保持不变。每路加热器的控温点编号（1～32）和上、下限阈值由控温参数表规定（见 TCUS-DAT-001）。</w:t>
      </w:r>
    </w:p>
    <w:p>
      <w:pPr>
        <w:pStyle w:val="Normal"/>
      </w:pPr>
      <w:r>
        <w:rPr>
          <w:b/>
          <w:bCs/>
        </w:rPr>
        <w:t xml:space="preserve">TCUS-FUN-011</w:t>
      </w:r>
      <w:r>
        <w:t xml:space="preserve">　控温点故障时，对应的加热器应进行故障处理。</w:t>
      </w:r>
    </w:p>
    <w:p>
      <w:pPr>
        <w:pStyle w:val="Heading3"/>
        <w:numPr>
          <w:ilvl w:val="0"/>
          <w:numId w:val="0"/>
        </w:numPr>
      </w:pPr>
      <w:r>
        <w:t xml:space="preserve">3.2.3 遥控</w:t>
      </w:r>
    </w:p>
    <w:p>
      <w:pPr>
        <w:pStyle w:val="Normal"/>
      </w:pPr>
      <w:r>
        <w:rPr>
          <w:b/>
          <w:bCs/>
        </w:rPr>
        <w:t xml:space="preserve">TCUS-FUN-020</w:t>
      </w:r>
      <w:r>
        <w:t xml:space="preserve">　软件应接收平台发送的遥控帧，执行以下指令：加热器接通（指定一路）、加热器断开（指定一路）、加热器全部断开、切换到自主控温模式、切换到遥控模式。帧格式和指令码见 TCU-PLT-ICD-002。</w:t>
      </w:r>
    </w:p>
    <w:p>
      <w:pPr>
        <w:pStyle w:val="Normal"/>
      </w:pPr>
      <w:r>
        <w:rPr>
          <w:b/>
          <w:bCs/>
        </w:rPr>
        <w:t xml:space="preserve">TCUS-FUN-021</w:t>
      </w:r>
      <w:r>
        <w:t xml:space="preserve">　帧校验错误、长度错误、指令码或参数非法的遥控帧应丢弃，遥控错误计数加 1。正确接收的遥控帧，遥控接收计数加 1。</w:t>
      </w:r>
    </w:p>
    <w:p>
      <w:pPr>
        <w:pStyle w:val="Normal"/>
      </w:pPr>
      <w:r>
        <w:rPr>
          <w:b/>
          <w:bCs/>
        </w:rPr>
        <w:t xml:space="preserve">TCUS-FUN-022</w:t>
      </w:r>
      <w:r>
        <w:t xml:space="preserve">　加热器接通、断开指令只在遥控模式下执行；自主控温模式下收到时拒绝执行，遥控拒绝计数加 1。“加热器全部断开”指令在两种模式下都执行。</w:t>
      </w:r>
    </w:p>
    <w:p>
      <w:pPr>
        <w:pStyle w:val="Normal"/>
      </w:pPr>
      <w:r>
        <w:rPr>
          <w:b/>
          <w:bCs/>
        </w:rPr>
        <w:t xml:space="preserve">TCUS-PER-001</w:t>
      </w:r>
      <w:r>
        <w:t xml:space="preserve">　从遥控帧最后一个字节接收完毕到指令执行完毕（加热器输出改变）的时间应不大于 10 ms。</w:t>
      </w:r>
    </w:p>
    <w:p>
      <w:pPr>
        <w:pStyle w:val="Heading3"/>
        <w:numPr>
          <w:ilvl w:val="0"/>
          <w:numId w:val="0"/>
        </w:numPr>
      </w:pPr>
      <w:r>
        <w:t xml:space="preserve">3.2.4 参数上注</w:t>
      </w:r>
    </w:p>
    <w:p>
      <w:pPr>
        <w:pStyle w:val="Normal"/>
      </w:pPr>
      <w:r>
        <w:rPr>
          <w:b/>
          <w:bCs/>
        </w:rPr>
        <w:t xml:space="preserve">TCUS-FUN-025</w:t>
      </w:r>
      <w:r>
        <w:t xml:space="preserve">　软件应接收平台发送的参数上注帧，用帧中的控温参数表替换当前使用的控温参数，并在 1 s 内完成 EEPROM 中三份控温参数的存储。参数非法（控温点编号不在 1～32 范围内，或下限阈值不小于上限阈值）的上注帧应拒绝，遥控拒绝计数加 1。</w:t>
      </w:r>
    </w:p>
    <w:p>
      <w:pPr>
        <w:pStyle w:val="Heading3"/>
        <w:numPr>
          <w:ilvl w:val="0"/>
          <w:numId w:val="0"/>
        </w:numPr>
      </w:pPr>
      <w:r>
        <w:t xml:space="preserve">3.2.5 遥测</w:t>
      </w:r>
    </w:p>
    <w:p>
      <w:pPr>
        <w:pStyle w:val="Normal"/>
      </w:pPr>
      <w:r>
        <w:rPr>
          <w:b/>
          <w:bCs/>
        </w:rPr>
        <w:t xml:space="preserve">TCUS-FUN-030</w:t>
      </w:r>
      <w:r>
        <w:t xml:space="preserve">　平台每 500 ms 发送一次遥测查询帧。软件收到正确的遥测查询帧后，应在 5 ms 内开始发送遥测应答帧。</w:t>
      </w:r>
    </w:p>
    <w:p>
      <w:pPr>
        <w:pStyle w:val="Normal"/>
      </w:pPr>
      <w:r>
        <w:rPr>
          <w:b/>
          <w:bCs/>
        </w:rPr>
        <w:t xml:space="preserve">TCUS-FUN-031</w:t>
      </w:r>
      <w:r>
        <w:t xml:space="preserve">　遥测应答帧的内容包括：32 路测温点最近一轮的测量值、16 路加热器状态、当前工作模式、遥控接收计数、遥控错误计数、遥控拒绝计数、32 路测温点故障标志、复位计数。</w:t>
      </w:r>
    </w:p>
    <w:p>
      <w:pPr>
        <w:pStyle w:val="Heading2"/>
        <w:numPr>
          <w:ilvl w:val="0"/>
          <w:numId w:val="0"/>
        </w:numPr>
      </w:pPr>
      <w:r>
        <w:t xml:space="preserve">3.3 外部接口需求</w:t>
      </w:r>
    </w:p>
    <w:p>
      <w:pPr>
        <w:pStyle w:val="Normal"/>
      </w:pPr>
      <w:r>
        <w:rPr>
          <w:b/>
          <w:bCs/>
        </w:rPr>
        <w:t xml:space="preserve">TCUS-INT-001</w:t>
      </w:r>
      <w:r>
        <w:t xml:space="preserve">　软件与平台之间采用 RS422 异步串行通信：波特率 115200 bps，8 位数据位，1 位停止位，无校验。帧格式见 TCU-PLT-ICD-002。</w:t>
      </w:r>
    </w:p>
    <w:p>
      <w:pPr>
        <w:pStyle w:val="Normal"/>
      </w:pPr>
      <w:r>
        <w:rPr>
          <w:b/>
          <w:bCs/>
        </w:rPr>
        <w:t xml:space="preserve">TCUS-INT-002</w:t>
      </w:r>
      <w:r>
        <w:t xml:space="preserve">　测温、加热器、看门狗、EEPROM 等硬件接口见 TCU-HW-ICD-001。</w:t>
      </w:r>
    </w:p>
    <w:p>
      <w:pPr>
        <w:pStyle w:val="Heading2"/>
        <w:numPr>
          <w:ilvl w:val="0"/>
          <w:numId w:val="0"/>
        </w:numPr>
      </w:pPr>
      <w:r>
        <w:t xml:space="preserve">3.5 内部数据需求</w:t>
      </w:r>
    </w:p>
    <w:p>
      <w:pPr>
        <w:pStyle w:val="Normal"/>
      </w:pPr>
      <w:r>
        <w:rPr>
          <w:b/>
          <w:bCs/>
        </w:rPr>
        <w:t xml:space="preserve">TCUS-DAT-001</w:t>
      </w:r>
      <w:r>
        <w:t xml:space="preserve">　控温参数表包括 16 路加热器各自的控温点编号（1 字节，1～32）、下限阈值和上限阈值（各 2 字节，ADC 原码），共 80 字节。控温参数表在 EEPROM 中存储三份。上电时读取三份，按字节三取二表决后使用；三份互不相同的字节，使用默认控温参数表中对应的字节。</w:t>
      </w:r>
    </w:p>
    <w:p>
      <w:pPr>
        <w:pStyle w:val="Normal"/>
      </w:pPr>
      <w:r>
        <w:rPr>
          <w:b/>
          <w:bCs/>
        </w:rPr>
        <w:t xml:space="preserve">TCUS-DAT-002</w:t>
      </w:r>
      <w:r>
        <w:t xml:space="preserve">　遥控接收计数、遥控错误计数、遥控拒绝计数、复位计数均为 8 位，计到 255 后从 0 重新计数。</w:t>
      </w:r>
    </w:p>
    <w:p>
      <w:pPr>
        <w:pStyle w:val="Heading2"/>
        <w:numPr>
          <w:ilvl w:val="0"/>
          <w:numId w:val="0"/>
        </w:numPr>
      </w:pPr>
      <w:r>
        <w:t xml:space="preserve">3.7 安全性需求</w:t>
      </w:r>
    </w:p>
    <w:p>
      <w:pPr>
        <w:pStyle w:val="Normal"/>
      </w:pPr>
      <w:r>
        <w:rPr>
          <w:b/>
          <w:bCs/>
        </w:rPr>
        <w:t xml:space="preserve">TCUS-SAF-001</w:t>
      </w:r>
      <w:r>
        <w:t xml:space="preserve">　任何时刻同时接通的加热器不得超过 8 路。</w:t>
      </w:r>
    </w:p>
    <w:p>
      <w:pPr>
        <w:pStyle w:val="Normal"/>
      </w:pPr>
      <w:r>
        <w:rPr>
          <w:b/>
          <w:bCs/>
        </w:rPr>
        <w:t xml:space="preserve">TCUS-SAF-002</w:t>
      </w:r>
      <w:r>
        <w:t xml:space="preserve">　软件复位（包括看门狗复位）后，在恢复控温之前，所有加热器应保持断开。</w:t>
      </w:r>
    </w:p>
    <w:p>
      <w:pPr>
        <w:pStyle w:val="Heading2"/>
        <w:numPr>
          <w:ilvl w:val="0"/>
          <w:numId w:val="0"/>
        </w:numPr>
      </w:pPr>
      <w:r>
        <w:t xml:space="preserve">3.10 计算机资源需求</w:t>
      </w:r>
    </w:p>
    <w:p>
      <w:pPr>
        <w:pStyle w:val="Normal"/>
      </w:pPr>
      <w:r>
        <w:rPr>
          <w:b/>
          <w:bCs/>
        </w:rPr>
        <w:t xml:space="preserve">TCUS-RES-001</w:t>
      </w:r>
      <w:r>
        <w:t xml:space="preserve">　CPU 负荷应不大于 50%（设计阶段按最坏情况估算，系统测试时实测）。</w:t>
      </w:r>
    </w:p>
    <w:p>
      <w:pPr>
        <w:pStyle w:val="Normal"/>
      </w:pPr>
      <w:r>
        <w:rPr>
          <w:b/>
          <w:bCs/>
        </w:rPr>
        <w:t xml:space="preserve">TCUS-RES-002</w:t>
      </w:r>
      <w:r>
        <w:t xml:space="preserve">　程序存储器（PROM）和数据存储器（SRAM）的使用量均应留有不少于 20% 的余量。</w:t>
      </w:r>
    </w:p>
    <w:p>
      <w:pPr>
        <w:pStyle w:val="Heading2"/>
        <w:numPr>
          <w:ilvl w:val="0"/>
          <w:numId w:val="0"/>
        </w:numPr>
      </w:pPr>
      <w:r>
        <w:t xml:space="preserve">3.11 软件质量因素</w:t>
      </w:r>
    </w:p>
    <w:p>
      <w:pPr>
        <w:pStyle w:val="Normal"/>
      </w:pPr>
      <w:r>
        <w:rPr>
          <w:b/>
          <w:bCs/>
        </w:rPr>
        <w:t xml:space="preserve">TCUS-REL-001</w:t>
      </w:r>
      <w:r>
        <w:t xml:space="preserve">　软件应使用看门狗。喂狗只能在主程序中进行，不得在中断服务程序中喂狗。</w:t>
      </w:r>
    </w:p>
    <w:p>
      <w:pPr>
        <w:pStyle w:val="Normal"/>
      </w:pPr>
      <w:r>
        <w:rPr>
          <w:b/>
          <w:bCs/>
        </w:rPr>
        <w:t xml:space="preserve">TCUS-REL-002</w:t>
      </w:r>
      <w:r>
        <w:t xml:space="preserve">　软件应周期刷新 SRAM（读出后写回），每 60 s 内完成一遍全部 SRAM 的刷新。</w:t>
      </w:r>
    </w:p>
    <w:p>
      <w:pPr>
        <w:pStyle w:val="Heading2"/>
        <w:numPr>
          <w:ilvl w:val="0"/>
          <w:numId w:val="0"/>
        </w:numPr>
      </w:pPr>
      <w:r>
        <w:t xml:space="preserve">3.12 设计和实现约束</w:t>
      </w:r>
    </w:p>
    <w:p>
      <w:pPr>
        <w:pStyle w:val="Normal"/>
      </w:pPr>
      <w:r>
        <w:rPr>
          <w:b/>
          <w:bCs/>
        </w:rPr>
        <w:t xml:space="preserve">TCUS-CON-001</w:t>
      </w:r>
      <w:r>
        <w:t xml:space="preserve">　软件使用 C 语言（C89）编写，裸机运行，不使用操作系统。</w:t>
      </w:r>
    </w:p>
    <w:p>
      <w:pPr>
        <w:pStyle w:val="Normal"/>
      </w:pPr>
      <w:r>
        <w:rPr>
          <w:b/>
          <w:bCs/>
        </w:rPr>
        <w:t xml:space="preserve">TCUS-CON-002</w:t>
      </w:r>
      <w:r>
        <w:t xml:space="preserve">　访问在中断服务程序和主程序之间共享的数据时，应采取关中断等保护措施。</w:t>
      </w:r>
    </w:p>
    <w:sectPr>
      <w:headerReference w:type="default" r:id="rId5"/>
      <w:headerReference w:type="first" r:id="rId7"/>
      <w:footerReference w:type="default" r:id="rId6"/>
      <w:footerReference w:type="first" r:id="rId8"/>
      <w:pgSz w:w="11906" w:h="16838"/>
      <w:pgMar w:top="1440" w:right="1800" w:bottom="1440" w:left="1800" w:header="851" w:footer="992" w:gutter="0"/>
      <w:cols w:space="425"/>
      <w:titlePg/>
      <w:docGrid w:linePitch="312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宋体">
    <w:altName w:val="SimSun"/>
    <w:charset w:val="86"/>
    <w:family w:val="auto"/>
    <w:pitch w:val="variable"/>
  </w:font>
  <w:font w:name="黑体">
    <w:altName w:val="SimHei"/>
    <w:charset w:val="86"/>
    <w:family w:val="modern"/>
    <w:pitch w:val="fixed"/>
  </w:font>
  <w:font w:name="Times New Roman">
    <w:charset w:val="00"/>
    <w:family w:val="roman"/>
    <w:pitch w:val="variable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pStyle w:val="Footer"/>
    </w:pPr>
    <w:r>
      <w:t xml:space="preserve">第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t xml:space="preserve"> 页</w:t>
    </w:r>
  </w:p>
</w:ftr>
</file>

<file path=word/footer2.xml><?xml version="1.0" encoding="utf-8"?>
<w:ftr xmlns:w="http://schemas.openxmlformats.org/wordprocessingml/2006/main" xmlns:r="http://schemas.openxmlformats.org/officeDocument/2006/relationships">
  <w:p>
    <w:pPr>
      <w:spacing w:line="240" w:lineRule="auto"/>
      <w:ind w:firstLineChars="0" w:firstLine="0"/>
    </w:pPr>
  </w:p>
</w:ftr>
</file>

<file path=word/header1.xml><?xml version="1.0" encoding="utf-8"?>
<w:hdr xmlns:w="http://schemas.openxmlformats.org/wordprocessingml/2006/main" xmlns:r="http://schemas.openxmlformats.org/officeDocument/2006/relationships">
  <w:p>
    <w:pPr>
      <w:pStyle w:val="Header"/>
    </w:pPr>
    <w:r>
      <w:t xml:space="preserve">TCUS-SRS-001　热控单元软件需求规格说明</w:t>
    </w:r>
  </w:p>
</w:hdr>
</file>

<file path=word/header2.xml><?xml version="1.0" encoding="utf-8"?>
<w:hdr xmlns:w="http://schemas.openxmlformats.org/wordprocessingml/2006/main" xmlns:r="http://schemas.openxmlformats.org/officeDocument/2006/relationships">
  <w:p>
    <w:pPr>
      <w:spacing w:line="240" w:lineRule="auto"/>
      <w:ind w:firstLineChars="0" w:firstLine="0"/>
    </w:pPr>
  </w:p>
</w:hdr>
</file>

<file path=word/numbering.xml><?xml version="1.0" encoding="utf-8"?>
<w:numbering xmlns:w="http://schemas.openxmlformats.org/wordprocessingml/2006/main" xmlns:r="http://schemas.openxmlformats.org/officeDocument/2006/relationships">
  <w:abstractNum w:abstractNumId="0">
    <w:multiLevelType w:val="multilevel"/>
    <w:lvl w:ilvl="0">
      <w:start w:val="1"/>
      <w:numFmt w:val="decimal"/>
      <w:pStyle w:val="Heading1"/>
      <w:suff w:val="space"/>
      <w:lvlText w:val="%1"/>
      <w:lvlJc w:val="left"/>
      <w:pPr>
        <w:ind w:left="0" w:firstLine="0"/>
      </w:pPr>
    </w:lvl>
    <w:lvl w:ilvl="1">
      <w:start w:val="1"/>
      <w:numFmt w:val="decimal"/>
      <w:pStyle w:val="Heading2"/>
      <w:isLgl/>
      <w:suff w:val="space"/>
      <w:lvlText w:val="%1.%2"/>
      <w:lvlJc w:val="left"/>
      <w:pPr>
        <w:ind w:left="0" w:firstLine="0"/>
      </w:pPr>
    </w:lvl>
    <w:lvl w:ilvl="2">
      <w:start w:val="1"/>
      <w:numFmt w:val="decimal"/>
      <w:pStyle w:val="Heading3"/>
      <w:isLgl/>
      <w:suff w:val="space"/>
      <w:lvlText w:val="%1.%2.%3"/>
      <w:lvlJc w:val="left"/>
      <w:pPr>
        <w:ind w:left="0" w:firstLine="0"/>
      </w:pPr>
    </w:lvl>
    <w:lvl w:ilvl="3">
      <w:start w:val="1"/>
      <w:numFmt w:val="decimal"/>
      <w:pStyle w:val="Heading4"/>
      <w:isLgl/>
      <w:suff w:val="space"/>
      <w:lvlText w:val="%1.%2.%3.%4"/>
      <w:lvlJc w:val="left"/>
      <w:pPr>
        <w:ind w:left="0" w:firstLine="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r="http://schemas.openxmlformats.org/officeDocument/2006/relationships">
  <w:zoom w:percent="100"/>
  <w:defaultTabStop w:val="420"/>
  <w:characterSpacingControl w:val="compressPunctuation"/>
  <w:updateFields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hAnsi="Times New Roman" w:eastAsia="宋体" w:cs="Times New Roman"/>
        <w:sz w:val="24"/>
        <w:szCs w:val="24"/>
        <w:lang w:val="en-US" w:eastAsia="zh-CN" w:bidi="ar-SA"/>
      </w:rPr>
    </w:rPrDefault>
    <w:pPrDefault>
      <w:pPr>
        <w:widowControl w:val="0"/>
        <w:jc w:val="both"/>
      </w:pPr>
    </w:pPrDefault>
  </w:docDefaults>
  <w:style w:type="paragraph" w:default="1" w:styleId="Normal">
    <w:name w:val="Normal"/>
    <w:qFormat/>
    <w:pPr>
      <w:spacing w:line="360" w:lineRule="auto"/>
      <w:ind w:firstLineChars="200" w:firstLine="480"/>
    </w:pPr>
  </w:style>
  <w:style w:type="character" w:default="1" w:styleId="DefaultParagraphFont">
    <w:name w:val="Default Paragraph Font"/>
    <w:uiPriority w:val="1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Heading1">
    <w:name w:val="heading 1"/>
    <w:basedOn w:val="Normal"/>
    <w:next w:val="Normal"/>
    <w:uiPriority w:val="9"/>
    <w:qFormat/>
    <w:pPr>
      <w:keepNext/>
      <w:keepLines/>
      <w:numPr>
        <w:ilvl w:val="0"/>
        <w:numId w:val="1"/>
      </w:numPr>
      <w:spacing w:before="240" w:after="120" w:line="360" w:lineRule="auto"/>
      <w:ind w:left="0" w:firstLineChars="0" w:firstLine="0"/>
      <w:jc w:val="left"/>
      <w:outlineLvl w:val="0"/>
    </w:pPr>
    <w:rPr>
      <w:rFonts w:ascii="Times New Roman" w:hAnsi="Times New Roman" w:eastAsia="黑体" w:cs="Times New Roman"/>
      <w:sz w:val="32"/>
      <w:szCs w:val="32"/>
    </w:rPr>
  </w:style>
  <w:style w:type="paragraph" w:styleId="Heading2">
    <w:name w:val="heading 2"/>
    <w:basedOn w:val="Normal"/>
    <w:next w:val="Normal"/>
    <w:uiPriority w:val="9"/>
    <w:qFormat/>
    <w:pPr>
      <w:keepNext/>
      <w:keepLines/>
      <w:numPr>
        <w:ilvl w:val="1"/>
        <w:numId w:val="1"/>
      </w:numPr>
      <w:spacing w:before="180" w:after="60" w:line="360" w:lineRule="auto"/>
      <w:ind w:left="0" w:firstLineChars="0" w:firstLine="0"/>
      <w:jc w:val="left"/>
      <w:outlineLvl w:val="1"/>
    </w:pPr>
    <w:rPr>
      <w:rFonts w:ascii="Times New Roman" w:hAnsi="Times New Roman" w:eastAsia="黑体" w:cs="Times New Roman"/>
      <w:sz w:val="28"/>
      <w:szCs w:val="28"/>
    </w:rPr>
  </w:style>
  <w:style w:type="paragraph" w:styleId="Heading3">
    <w:name w:val="heading 3"/>
    <w:basedOn w:val="Normal"/>
    <w:next w:val="Normal"/>
    <w:uiPriority w:val="9"/>
    <w:qFormat/>
    <w:pPr>
      <w:keepNext/>
      <w:keepLines/>
      <w:numPr>
        <w:ilvl w:val="2"/>
        <w:numId w:val="1"/>
      </w:numPr>
      <w:spacing w:before="120" w:after="60" w:line="360" w:lineRule="auto"/>
      <w:ind w:left="0" w:firstLineChars="0" w:firstLine="0"/>
      <w:jc w:val="left"/>
      <w:outlineLvl w:val="2"/>
    </w:pPr>
    <w:rPr>
      <w:rFonts w:ascii="Times New Roman" w:hAnsi="Times New Roman" w:eastAsia="黑体" w:cs="Times New Roman"/>
      <w:sz w:val="24"/>
      <w:szCs w:val="24"/>
    </w:rPr>
  </w:style>
  <w:style w:type="paragraph" w:styleId="Heading4">
    <w:name w:val="heading 4"/>
    <w:basedOn w:val="Normal"/>
    <w:next w:val="Normal"/>
    <w:uiPriority w:val="9"/>
    <w:qFormat/>
    <w:pPr>
      <w:keepNext/>
      <w:keepLines/>
      <w:numPr>
        <w:ilvl w:val="3"/>
        <w:numId w:val="1"/>
      </w:numPr>
      <w:spacing w:before="120" w:after="0" w:line="360" w:lineRule="auto"/>
      <w:ind w:left="0" w:firstLineChars="0" w:firstLine="0"/>
      <w:jc w:val="left"/>
      <w:outlineLvl w:val="3"/>
    </w:pPr>
    <w:rPr>
      <w:rFonts w:ascii="Times New Roman" w:hAnsi="Times New Roman" w:eastAsia="黑体" w:cs="Times New Roman"/>
      <w:sz w:val="24"/>
      <w:szCs w:val="24"/>
    </w:rPr>
  </w:style>
  <w:style w:type="paragraph" w:styleId="Title">
    <w:name w:val="Title"/>
    <w:basedOn w:val="Normal"/>
    <w:qFormat/>
    <w:pPr>
      <w:spacing w:before="240" w:after="240"/>
      <w:ind w:firstLineChars="0" w:firstLine="0"/>
      <w:jc w:val="center"/>
    </w:pPr>
    <w:rPr>
      <w:rFonts w:ascii="Times New Roman" w:hAnsi="Times New Roman" w:eastAsia="黑体" w:cs="Times New Roman"/>
      <w:sz w:val="44"/>
      <w:szCs w:val="44"/>
    </w:rPr>
  </w:style>
  <w:style w:type="paragraph" w:styleId="Caption">
    <w:name w:val="caption"/>
    <w:basedOn w:val="Normal"/>
    <w:next w:val="Normal"/>
    <w:qFormat/>
    <w:pPr>
      <w:spacing w:before="60" w:after="60" w:line="240" w:lineRule="auto"/>
      <w:ind w:firstLineChars="0" w:firstLine="0"/>
      <w:jc w:val="center"/>
    </w:pPr>
    <w:rPr>
      <w:rFonts w:ascii="Times New Roman" w:hAnsi="Times New Roman" w:eastAsia="黑体" w:cs="Times New Roman"/>
      <w:sz w:val="21"/>
      <w:szCs w:val="21"/>
    </w:rPr>
  </w:style>
  <w:style w:type="paragraph" w:customStyle="1" w:styleId="TableText">
    <w:name w:val="表格文字"/>
    <w:basedOn w:val="Normal"/>
    <w:qFormat/>
    <w:pPr>
      <w:spacing w:line="240" w:lineRule="auto"/>
      <w:ind w:firstLineChars="0" w:firstLine="0"/>
      <w:jc w:val="left"/>
    </w:pPr>
    <w:rPr>
      <w:sz w:val="21"/>
      <w:szCs w:val="21"/>
    </w:rPr>
  </w:style>
  <w:style w:type="paragraph" w:customStyle="1" w:styleId="Code">
    <w:name w:val="代码"/>
    <w:basedOn w:val="Normal"/>
    <w:pPr>
      <w:spacing w:line="240" w:lineRule="auto"/>
      <w:ind w:firstLineChars="0" w:firstLine="0"/>
      <w:jc w:val="left"/>
    </w:pPr>
    <w:rPr>
      <w:rFonts w:ascii="Courier New" w:hAnsi="Courier New" w:eastAsia="宋体" w:cs="Courier New"/>
      <w:sz w:val="18"/>
      <w:szCs w:val="18"/>
    </w:rPr>
  </w:style>
  <w:style w:type="paragraph" w:styleId="TOC1">
    <w:name w:val="toc 1"/>
    <w:basedOn w:val="Normal"/>
    <w:next w:val="Normal"/>
    <w:pPr>
      <w:tabs>
        <w:tab w:val="right" w:leader="dot" w:pos="8296"/>
      </w:tabs>
      <w:ind w:firstLineChars="0" w:firstLine="0"/>
    </w:pPr>
  </w:style>
  <w:style w:type="paragraph" w:styleId="TOC2">
    <w:name w:val="toc 2"/>
    <w:basedOn w:val="Normal"/>
    <w:next w:val="Normal"/>
    <w:pPr>
      <w:tabs>
        <w:tab w:val="right" w:leader="dot" w:pos="8296"/>
      </w:tabs>
      <w:ind w:leftChars="200" w:left="480" w:firstLineChars="0" w:firstLine="0"/>
    </w:pPr>
  </w:style>
  <w:style w:type="paragraph" w:styleId="TOC3">
    <w:name w:val="toc 3"/>
    <w:basedOn w:val="Normal"/>
    <w:next w:val="Normal"/>
    <w:pPr>
      <w:tabs>
        <w:tab w:val="right" w:leader="dot" w:pos="8296"/>
      </w:tabs>
      <w:ind w:leftChars="400" w:left="960" w:firstLineChars="0" w:firstLine="0"/>
    </w:pPr>
  </w:style>
  <w:style w:type="paragraph" w:styleId="Header">
    <w:name w:val="header"/>
    <w:basedOn w:val="Normal"/>
    <w:pPr>
      <w:pBdr>
        <w:bottom w:val="single" w:sz="6" w:space="1" w:color="auto"/>
      </w:pBdr>
      <w:tabs>
        <w:tab w:val="center" w:pos="4153"/>
        <w:tab w:val="right" w:pos="8306"/>
      </w:tabs>
      <w:spacing w:line="240" w:lineRule="auto"/>
      <w:ind w:firstLineChars="0" w:firstLine="0"/>
      <w:jc w:val="right"/>
    </w:pPr>
    <w:rPr>
      <w:sz w:val="18"/>
      <w:szCs w:val="18"/>
    </w:rPr>
  </w:style>
  <w:style w:type="paragraph" w:styleId="Footer">
    <w:name w:val="footer"/>
    <w:basedOn w:val="Normal"/>
    <w:pPr>
      <w:tabs>
        <w:tab w:val="center" w:pos="4153"/>
        <w:tab w:val="right" w:pos="8306"/>
      </w:tabs>
      <w:spacing w:line="240" w:lineRule="auto"/>
      <w:ind w:firstLineChars="0" w:firstLine="0"/>
      <w:jc w:val="center"/>
    </w:pPr>
    <w:rPr>
      <w:sz w:val="18"/>
      <w:szCs w:val="18"/>
    </w:r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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numbering" Target="numbering.xml"/>
<Relationship Id="rId3" Type="http://schemas.openxmlformats.org/officeDocument/2006/relationships/settings" Target="settings.xml"/>
<Relationship Id="rId4" Type="http://schemas.openxmlformats.org/officeDocument/2006/relationships/fontTable" Target="fontTable.xml"/>
<Relationship Id="rId5" Type="http://schemas.openxmlformats.org/officeDocument/2006/relationships/header" Target="header1.xml"/>
<Relationship Id="rId6" Type="http://schemas.openxmlformats.org/officeDocument/2006/relationships/footer" Target="footer1.xml"/>
<Relationship Id="rId7" Type="http://schemas.openxmlformats.org/officeDocument/2006/relationships/header" Target="header2.xml"/>
<Relationship Id="rId8" Type="http://schemas.openxmlformats.org/officeDocument/2006/relationships/footer" Target="footer2.xml"/>
</Relationships>
</file>

<file path=docProps/app.xml><?xml version="1.0" encoding="utf-8"?>
<Properties xmlns="http://schemas.openxmlformats.org/officeDocument/2006/extended-properties">
  <Application>astrolab-agent docgen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演示文档模板</dc:title>
  <dc:creator>astrolab-agent</dc:creator>
</cp:coreProperties>
</file>