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EB5" w:rsidRPr="008E272F" w:rsidRDefault="00A2472D" w:rsidP="00A2472D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proofErr w:type="spellStart"/>
      <w:r w:rsidRPr="008E272F">
        <w:rPr>
          <w:rFonts w:ascii="Times New Roman" w:hAnsi="Times New Roman" w:cs="Times New Roman"/>
          <w:b/>
          <w:i/>
          <w:sz w:val="24"/>
          <w:szCs w:val="24"/>
          <w:lang w:val="ru-RU"/>
        </w:rPr>
        <w:t>Татак</w:t>
      </w:r>
      <w:proofErr w:type="spellEnd"/>
      <w:r w:rsidRPr="008E272F">
        <w:rPr>
          <w:rFonts w:ascii="Times New Roman" w:hAnsi="Times New Roman" w:cs="Times New Roman"/>
          <w:b/>
          <w:i/>
          <w:sz w:val="24"/>
          <w:szCs w:val="24"/>
          <w:lang w:val="uk-UA"/>
        </w:rPr>
        <w:t>і Д.Д.</w:t>
      </w:r>
    </w:p>
    <w:p w:rsidR="00A2472D" w:rsidRPr="008E272F" w:rsidRDefault="00A2472D" w:rsidP="00A247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>старший викладач</w:t>
      </w:r>
    </w:p>
    <w:p w:rsidR="00A2472D" w:rsidRPr="008E272F" w:rsidRDefault="00A2472D" w:rsidP="00A247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>кафедри міжнародних відносин та права</w:t>
      </w:r>
    </w:p>
    <w:p w:rsidR="00A2472D" w:rsidRPr="008E272F" w:rsidRDefault="00A2472D" w:rsidP="00A247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>Національного університету</w:t>
      </w:r>
    </w:p>
    <w:p w:rsidR="00A2472D" w:rsidRPr="008E272F" w:rsidRDefault="00A2472D" w:rsidP="00A247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>«Одеська політехніка»</w:t>
      </w:r>
    </w:p>
    <w:p w:rsidR="00A2472D" w:rsidRPr="008E272F" w:rsidRDefault="00A2472D" w:rsidP="00A247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E272F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4" w:history="1">
        <w:r w:rsidRPr="008E272F">
          <w:rPr>
            <w:rStyle w:val="a3"/>
            <w:rFonts w:ascii="Times New Roman" w:hAnsi="Times New Roman" w:cs="Times New Roman"/>
            <w:sz w:val="24"/>
            <w:szCs w:val="24"/>
          </w:rPr>
          <w:t>d.d.tataki@op.edu.ua</w:t>
        </w:r>
      </w:hyperlink>
    </w:p>
    <w:p w:rsidR="00A2472D" w:rsidRPr="008E272F" w:rsidRDefault="00A2472D" w:rsidP="00A247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>ДЖЕРЕЛА ФІНАНСУВАННЯ ХАМАС</w:t>
      </w:r>
    </w:p>
    <w:p w:rsidR="00A2472D" w:rsidRPr="008E272F" w:rsidRDefault="00A2472D" w:rsidP="001937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Під час збройного конфлікту між ХАМАС </w:t>
      </w:r>
      <w:r w:rsidR="001937BE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та Ізраїлем, що розпочався сьомого жовтня 2023 року, особливої актуальності набуло питання джерел фінансування ХАМАС. З одного боку робиться багато політичних заяв про можливих спонсорів </w:t>
      </w:r>
      <w:proofErr w:type="spellStart"/>
      <w:r w:rsidR="001937BE" w:rsidRPr="008E272F">
        <w:rPr>
          <w:rFonts w:ascii="Times New Roman" w:hAnsi="Times New Roman" w:cs="Times New Roman"/>
          <w:sz w:val="24"/>
          <w:szCs w:val="24"/>
          <w:lang w:val="uk-UA"/>
        </w:rPr>
        <w:t>ХАМАСу</w:t>
      </w:r>
      <w:proofErr w:type="spellEnd"/>
      <w:r w:rsidR="001937BE" w:rsidRPr="008E272F">
        <w:rPr>
          <w:rFonts w:ascii="Times New Roman" w:hAnsi="Times New Roman" w:cs="Times New Roman"/>
          <w:sz w:val="24"/>
          <w:szCs w:val="24"/>
          <w:lang w:val="uk-UA"/>
        </w:rPr>
        <w:t>, які є фактичними співучасниками агресії проти Ізраїлю, з іншого – об’єктивна відповідь на це запитання наближає до розуміння природи та рушійних сил цього конфлікту.</w:t>
      </w:r>
    </w:p>
    <w:p w:rsidR="00E143F7" w:rsidRPr="008E272F" w:rsidRDefault="001937BE" w:rsidP="00E143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Характерно, що на сторінках преси почали з’являтися матеріали про розкішне життя ватажків ХАМАС </w:t>
      </w:r>
      <w:r w:rsidR="006573FB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та їх сімей у еміраті Катар та у Турецькій Республіці. Тут треба акцентувати увагу що очільники </w:t>
      </w:r>
      <w:proofErr w:type="spellStart"/>
      <w:r w:rsidR="006573FB" w:rsidRPr="008E272F">
        <w:rPr>
          <w:rFonts w:ascii="Times New Roman" w:hAnsi="Times New Roman" w:cs="Times New Roman"/>
          <w:sz w:val="24"/>
          <w:szCs w:val="24"/>
          <w:lang w:val="uk-UA"/>
        </w:rPr>
        <w:t>ХАМАСу</w:t>
      </w:r>
      <w:proofErr w:type="spellEnd"/>
      <w:r w:rsidR="006573FB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та їх сім’ї перебувають у безпечних країнах в той час як населення Сектору Газу є заручниками війни </w:t>
      </w:r>
      <w:proofErr w:type="spellStart"/>
      <w:r w:rsidR="006573FB" w:rsidRPr="008E272F">
        <w:rPr>
          <w:rFonts w:ascii="Times New Roman" w:hAnsi="Times New Roman" w:cs="Times New Roman"/>
          <w:sz w:val="24"/>
          <w:szCs w:val="24"/>
          <w:lang w:val="uk-UA"/>
        </w:rPr>
        <w:t>ХАМАСу</w:t>
      </w:r>
      <w:proofErr w:type="spellEnd"/>
      <w:r w:rsidR="006573FB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проти Ізраїлю. Також треба звернути</w:t>
      </w:r>
      <w:r w:rsidR="007604B6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увагу, що Туреччина як держава</w:t>
      </w:r>
      <w:r w:rsidR="006573FB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НАТО</w:t>
      </w:r>
      <w:r w:rsidR="007604B6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й Катар, як держава, на території якої </w:t>
      </w:r>
      <w:r w:rsidR="0035262C" w:rsidRPr="008E272F">
        <w:rPr>
          <w:rFonts w:ascii="Times New Roman" w:hAnsi="Times New Roman" w:cs="Times New Roman"/>
          <w:sz w:val="24"/>
          <w:szCs w:val="24"/>
          <w:lang w:val="uk-UA"/>
        </w:rPr>
        <w:t>розташована</w:t>
      </w:r>
      <w:r w:rsidR="007604B6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найбільша військова база США на Близькому Сході (Ель-</w:t>
      </w:r>
      <w:proofErr w:type="spellStart"/>
      <w:r w:rsidR="007604B6" w:rsidRPr="008E272F">
        <w:rPr>
          <w:rFonts w:ascii="Times New Roman" w:hAnsi="Times New Roman" w:cs="Times New Roman"/>
          <w:sz w:val="24"/>
          <w:szCs w:val="24"/>
          <w:lang w:val="uk-UA"/>
        </w:rPr>
        <w:t>Удейд</w:t>
      </w:r>
      <w:proofErr w:type="spellEnd"/>
      <w:r w:rsidR="007604B6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), є союзниками США так само як і Ізраїль. </w:t>
      </w:r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За даними американської консервативної газети </w:t>
      </w:r>
      <w:proofErr w:type="spellStart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>York</w:t>
      </w:r>
      <w:proofErr w:type="spellEnd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>Post</w:t>
      </w:r>
      <w:proofErr w:type="spellEnd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конгресмен республіканець від штату Теннессі </w:t>
      </w:r>
      <w:proofErr w:type="spellStart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>Енді</w:t>
      </w:r>
      <w:proofErr w:type="spellEnd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>Оглс</w:t>
      </w:r>
      <w:proofErr w:type="spellEnd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>Andy</w:t>
      </w:r>
      <w:proofErr w:type="spellEnd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>Ogles</w:t>
      </w:r>
      <w:proofErr w:type="spellEnd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) ініціював законопроект про позбавлення Катару статусу особливого союзника США якщо він не депортує лідерів </w:t>
      </w:r>
      <w:proofErr w:type="spellStart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>ХАМАСу</w:t>
      </w:r>
      <w:proofErr w:type="spellEnd"/>
      <w:r w:rsidR="00E143F7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. У 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цьому ж матеріалі журналісти оцінюють статки лише трьох </w:t>
      </w:r>
      <w:r w:rsidR="00AF0712" w:rsidRPr="008E272F">
        <w:rPr>
          <w:rFonts w:ascii="Times New Roman" w:hAnsi="Times New Roman" w:cs="Times New Roman"/>
          <w:sz w:val="24"/>
          <w:szCs w:val="24"/>
          <w:lang w:val="uk-UA"/>
        </w:rPr>
        <w:t>лідерів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ХАМАС (</w:t>
      </w:r>
      <w:proofErr w:type="spellStart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Ісмаі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End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Хан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ії</w:t>
      </w:r>
      <w:proofErr w:type="spellEnd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Мусс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и</w:t>
      </w:r>
      <w:proofErr w:type="spellEnd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Абу </w:t>
      </w:r>
      <w:proofErr w:type="spellStart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Марзук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End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Халед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End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Машал</w:t>
      </w:r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я</w:t>
      </w:r>
      <w:proofErr w:type="spellEnd"/>
      <w:r w:rsidR="003024C9" w:rsidRPr="008E272F">
        <w:rPr>
          <w:rFonts w:ascii="Times New Roman" w:hAnsi="Times New Roman" w:cs="Times New Roman"/>
          <w:sz w:val="24"/>
          <w:szCs w:val="24"/>
          <w:lang w:val="uk-UA"/>
        </w:rPr>
        <w:t>) та членів їх сімей у 11 мільярдів доларів[1].</w:t>
      </w:r>
    </w:p>
    <w:p w:rsidR="0035262C" w:rsidRPr="008E272F" w:rsidRDefault="0035262C" w:rsidP="00E143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Американський журнал </w:t>
      </w:r>
      <w:r w:rsidRPr="008E272F">
        <w:rPr>
          <w:rFonts w:ascii="Times New Roman" w:hAnsi="Times New Roman" w:cs="Times New Roman"/>
          <w:sz w:val="24"/>
          <w:szCs w:val="24"/>
        </w:rPr>
        <w:t>Forbes</w:t>
      </w:r>
      <w:r w:rsidRPr="008E27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у своєму матеріалі, опублікованому у грудні 2014 року «10 найзаможніших терористичних організацій світу», поставив ХАМАС на другу сходинку з бюджетом в 1 млрд доларів на рік. Джерелами фінансування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ХАМАСу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на думку видання </w:t>
      </w:r>
      <w:r w:rsidR="00D46F56" w:rsidRPr="008E272F">
        <w:rPr>
          <w:rFonts w:ascii="Times New Roman" w:hAnsi="Times New Roman" w:cs="Times New Roman"/>
          <w:sz w:val="24"/>
          <w:szCs w:val="24"/>
          <w:lang w:val="uk-UA"/>
        </w:rPr>
        <w:t>є податки та побори, фінансова допомога та пожертви (особливо Катару)</w:t>
      </w:r>
      <w:r w:rsidR="00D46F56" w:rsidRPr="008E272F">
        <w:rPr>
          <w:rFonts w:ascii="Times New Roman" w:hAnsi="Times New Roman" w:cs="Times New Roman"/>
          <w:sz w:val="24"/>
          <w:szCs w:val="24"/>
          <w:lang w:val="uk-UA"/>
        </w:rPr>
        <w:t>[</w:t>
      </w:r>
      <w:r w:rsidR="008E272F" w:rsidRPr="008E272F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D46F56" w:rsidRPr="008E272F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D46F56" w:rsidRPr="008E27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46F56" w:rsidRPr="008E27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6F56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Також у топ увійшли лідер рейтингу – ІДІЛ з бюджетом у 2 мільярди доларів, на четвертому </w:t>
      </w:r>
      <w:r w:rsidR="00485868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місті </w:t>
      </w:r>
      <w:r w:rsidR="00D46F56" w:rsidRPr="008E272F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D46F56" w:rsidRPr="008E272F">
        <w:rPr>
          <w:rFonts w:ascii="Times New Roman" w:hAnsi="Times New Roman" w:cs="Times New Roman"/>
          <w:sz w:val="24"/>
          <w:szCs w:val="24"/>
          <w:lang w:val="uk-UA"/>
        </w:rPr>
        <w:t>Хезболла</w:t>
      </w:r>
      <w:proofErr w:type="spellEnd"/>
      <w:r w:rsidR="00D46F56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» </w:t>
      </w:r>
      <w:r w:rsidR="00485868" w:rsidRPr="008E272F">
        <w:rPr>
          <w:rFonts w:ascii="Times New Roman" w:hAnsi="Times New Roman" w:cs="Times New Roman"/>
          <w:sz w:val="24"/>
          <w:szCs w:val="24"/>
          <w:lang w:val="uk-UA"/>
        </w:rPr>
        <w:t>(500 млн), на п’ятому – «</w:t>
      </w:r>
      <w:proofErr w:type="spellStart"/>
      <w:r w:rsidR="00485868" w:rsidRPr="008E272F">
        <w:rPr>
          <w:rFonts w:ascii="Times New Roman" w:hAnsi="Times New Roman" w:cs="Times New Roman"/>
          <w:sz w:val="24"/>
          <w:szCs w:val="24"/>
          <w:lang w:val="uk-UA"/>
        </w:rPr>
        <w:t>Талібан</w:t>
      </w:r>
      <w:proofErr w:type="spellEnd"/>
      <w:r w:rsidR="00485868" w:rsidRPr="008E272F">
        <w:rPr>
          <w:rFonts w:ascii="Times New Roman" w:hAnsi="Times New Roman" w:cs="Times New Roman"/>
          <w:sz w:val="24"/>
          <w:szCs w:val="24"/>
          <w:lang w:val="uk-UA"/>
        </w:rPr>
        <w:t>» (400 млн), на шостому місці «Аль-</w:t>
      </w:r>
      <w:proofErr w:type="spellStart"/>
      <w:r w:rsidR="00485868" w:rsidRPr="008E272F">
        <w:rPr>
          <w:rFonts w:ascii="Times New Roman" w:hAnsi="Times New Roman" w:cs="Times New Roman"/>
          <w:sz w:val="24"/>
          <w:szCs w:val="24"/>
          <w:lang w:val="uk-UA"/>
        </w:rPr>
        <w:t>Каїда</w:t>
      </w:r>
      <w:proofErr w:type="spellEnd"/>
      <w:r w:rsidR="00485868" w:rsidRPr="008E272F">
        <w:rPr>
          <w:rFonts w:ascii="Times New Roman" w:hAnsi="Times New Roman" w:cs="Times New Roman"/>
          <w:sz w:val="24"/>
          <w:szCs w:val="24"/>
          <w:lang w:val="uk-UA"/>
        </w:rPr>
        <w:t>» (150 млн). Цікаво, що з п’ятірки найзаможніших терористичних організацій світу, чотири розташовувались на Близькому Сході. Протягом останніх років багато що змінилося, тож можемо припустити що зараз саме ХАМАС є лідером рейтингу.</w:t>
      </w:r>
      <w:r w:rsidR="00A30A06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Також відмітимо що відстежувати фінансову діяльність терористичних організацій стало складніше через поширення </w:t>
      </w:r>
      <w:proofErr w:type="spellStart"/>
      <w:r w:rsidR="00A30A06" w:rsidRPr="008E272F">
        <w:rPr>
          <w:rFonts w:ascii="Times New Roman" w:hAnsi="Times New Roman" w:cs="Times New Roman"/>
          <w:sz w:val="24"/>
          <w:szCs w:val="24"/>
          <w:lang w:val="uk-UA"/>
        </w:rPr>
        <w:t>криптовалют</w:t>
      </w:r>
      <w:proofErr w:type="spellEnd"/>
      <w:r w:rsidR="00A30A06" w:rsidRPr="008E272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11A4B" w:rsidRPr="008E272F" w:rsidRDefault="00A30A06" w:rsidP="00C11A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За даними преси, які, в свою чергу, гуртуються на матеріалах офіційних державних органів, ХАМАС як організація та багато хто з її лідерів на особистому рівні стали крупними інвесторами в нерухомість. За інформацією інтернет-газети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EsDiario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516A1E" w:rsidRPr="008E272F">
        <w:rPr>
          <w:rFonts w:ascii="Times New Roman" w:hAnsi="Times New Roman" w:cs="Times New Roman"/>
          <w:sz w:val="24"/>
          <w:szCs w:val="24"/>
          <w:lang w:val="uk-UA"/>
        </w:rPr>
        <w:t>що базується у Мадриді, тридцять компаній «десятиріччями фінансували ХАМАС через операції з розкішною нерухомістю» зі згоди урядів «поміркованих мусульманських держав». Йдеться про Туреччину, Саудівську Аравію, Єгипет, ОАЕ та Алжир. Вважається що угоди з нерухомістю приносять ХАМАС більше 500 млн доларів щорічно</w:t>
      </w:r>
      <w:r w:rsidR="00516A1E" w:rsidRPr="008E272F">
        <w:rPr>
          <w:rFonts w:ascii="Times New Roman" w:hAnsi="Times New Roman" w:cs="Times New Roman"/>
          <w:sz w:val="24"/>
          <w:szCs w:val="24"/>
          <w:lang w:val="uk-UA"/>
        </w:rPr>
        <w:t>[</w:t>
      </w:r>
      <w:r w:rsidR="00B64EAD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516A1E" w:rsidRPr="008E272F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516A1E" w:rsidRPr="008E27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C44E0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Матеріали </w:t>
      </w:r>
      <w:proofErr w:type="spellStart"/>
      <w:r w:rsidR="00C44E09" w:rsidRPr="008E272F">
        <w:rPr>
          <w:rFonts w:ascii="Times New Roman" w:hAnsi="Times New Roman" w:cs="Times New Roman"/>
          <w:sz w:val="24"/>
          <w:szCs w:val="24"/>
          <w:lang w:val="uk-UA"/>
        </w:rPr>
        <w:t>EsDiario</w:t>
      </w:r>
      <w:proofErr w:type="spellEnd"/>
      <w:r w:rsidR="00C44E09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про бізнес ХАМАС у сфері нерухомості ґрунтуються на розслідуванні Міністерства фінансів США</w:t>
      </w:r>
      <w:r w:rsidR="00C11A4B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яке відстежувало гроші терористичної групи через своє Управління контролю за іноземними активами (OFAC). У травні 2022 року OFAC виявило фінансового чиновника ХАМАС, а також «велику мережу посередників» та компаній, які приносили «дохід терористичній групі шляхом управління портфелем міжнародних інвестицій»</w:t>
      </w:r>
      <w:r w:rsidR="00E55FBD" w:rsidRPr="008E272F">
        <w:rPr>
          <w:rFonts w:ascii="Times New Roman" w:hAnsi="Times New Roman" w:cs="Times New Roman"/>
          <w:sz w:val="24"/>
          <w:szCs w:val="24"/>
          <w:lang w:val="uk-UA"/>
        </w:rPr>
        <w:t>[</w:t>
      </w:r>
      <w:r w:rsidR="00B64EAD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E55FBD" w:rsidRPr="008E272F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C11A4B" w:rsidRPr="008E272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30A06" w:rsidRPr="008E272F" w:rsidRDefault="00E55FBD" w:rsidP="00C11A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У звіті OFAC повідомлялося про існування інвестиційного офісу ХАМАС, «керівництво якого займається цією мережею» підприємств, багато з яких займаються нерухомістю. ХАМАС отримує «величезні доходи за рахунок свого секретного інвестиційного портфеля, одночасно дестабілізуючи Газу», де цивільні особи стикаються з «важкими економічними та життєвими умовами», зазначила тоді представник OFAC Елізабет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Розенберг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. Також OFAC представило список осіб і компаній, що беруть участь у цій схемі ХАМАС, у тому числі йорданців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Хішама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Юніса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Яхію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Кафіше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Ахмеда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Шаріфа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Абдаллу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Уде, палестинця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Усаму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Алі та компанії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Sidar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Itqan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Real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Estate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937BE" w:rsidRPr="008E272F" w:rsidRDefault="00E55FBD" w:rsidP="001937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Інвестиційне управління таємно володіло активами в алжирській компанії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Sidar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і АТ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Itqan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Real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Estate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що базується в ОАЕ, які діяли як законні підприємства, але на практиці контролювалися ХАМАС і переводили гроші їхнім групам. Значна частина коштів, переведених цими компаніями ХАМАС, була направлена військовому підрозділу угруповання "Бригади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Ізз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>-ад-Діна Аль-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Кассама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". Компанії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Sidar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Anda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Company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Agrogate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Holding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були одними з найбільших інвестицій ХАМАСА у нерухомість та будівництво.</w:t>
      </w:r>
    </w:p>
    <w:p w:rsidR="00E45355" w:rsidRPr="008E272F" w:rsidRDefault="00E45355" w:rsidP="00E453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Ще одним важливим джерелом фінансування ХАМАС та збагачення його лідерів є «тунельна промисловість». За даними газети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Globes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лідери терористичного угруповання створили своє багатство «в першу чергу за рахунок бурхливо розви</w:t>
      </w:r>
      <w:r w:rsidR="00C63902">
        <w:rPr>
          <w:rFonts w:ascii="Times New Roman" w:hAnsi="Times New Roman" w:cs="Times New Roman"/>
          <w:sz w:val="24"/>
          <w:szCs w:val="24"/>
          <w:lang w:val="uk-UA"/>
        </w:rPr>
        <w:t>тку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тунельної промисловості». Чиновники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ХАМАСу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стягують податки, зазвичай у розмірі 20%, «на всі товари, які привозять контрабандою» через підземні переходи. «Як і мережа підземних тунелів, його не можна побачити з поверхні, але нижня частина міста Газа сповнена готівки»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[</w:t>
      </w:r>
      <w:r w:rsidR="00B64EAD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39501F" w:rsidRPr="008E27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9501F" w:rsidRPr="008E272F" w:rsidRDefault="0039501F" w:rsidP="00E453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Тунелі стали центральним та ефективним явищем з моменту введення ізраїльської блокади Гази у червні 2007 року після захоплення сектору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ХАМАСом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. За даними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Globes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>, у Газі ще у 2013 році проживало близько 600 мільйонерів, які «зробили сві</w:t>
      </w:r>
      <w:bookmarkStart w:id="0" w:name="_GoBack"/>
      <w:bookmarkEnd w:id="0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й статок завдяки сотням підземних тунелів уздовж кордону між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Газою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та Єгиптом».</w:t>
      </w:r>
    </w:p>
    <w:p w:rsidR="00C11A4B" w:rsidRPr="008E272F" w:rsidRDefault="0039501F" w:rsidP="001937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Поява класу тунельних контрабандистів викликала фундаментальні зміни у формах економічної діяльності в секторі Газа та змінила систему цінностей, які керують суспільством. Однак цей «клас» складався здебільшого з членів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ХАМАСу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оскільки контрабандний товар треба не тільки вміти доставити, але ще й вміти захистити, а за потреби і «віджати» у менш озброєного сусіда. У результаті тунелі стали ключовим джерелом надходження тисяч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життєво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важливих товарів у сектор Гази та важливим джерелом доходу для уряду ХАМАС у Газі.</w:t>
      </w:r>
    </w:p>
    <w:p w:rsidR="0039501F" w:rsidRDefault="0039501F" w:rsidP="001937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>Ще одним</w:t>
      </w:r>
      <w:r w:rsidR="008E272F"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важливим джерелом фінансування ХАМАСУ є допомога від донорів на фінансування шкіл, лікарень та інших соціальних проектів. Пакет допомоги включає 500 млн доларів з Катару, 1,2 млрд євро від Євросоюзу та ще 500 млн доларів від ООН. Не варто й забувати, що майже половина мешканців сектору Газа вважають палестинськими біженцями і на їх підтримку Близькосхідне агентство ООН для допомоги палестинським біженцям та організації робіт отримує ще близько мільярда доларів. Проте скільки їх цих грошей йде простим людям у секторі та скільки до кишень керівників угруповання ХАМАС не відомо. Хоча поступово дані про їхні багатства та способи заробітку виходять назовні.</w:t>
      </w:r>
    </w:p>
    <w:p w:rsidR="00B64EAD" w:rsidRPr="008E272F" w:rsidRDefault="00B64EAD" w:rsidP="001937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2472D" w:rsidRPr="008E272F" w:rsidRDefault="00A2472D" w:rsidP="00A2472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b/>
          <w:i/>
          <w:sz w:val="24"/>
          <w:szCs w:val="24"/>
          <w:lang w:val="uk-UA"/>
        </w:rPr>
        <w:t>Література:</w:t>
      </w:r>
    </w:p>
    <w:p w:rsidR="008E272F" w:rsidRPr="008E272F" w:rsidRDefault="008E272F" w:rsidP="003024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8E272F">
        <w:rPr>
          <w:rFonts w:ascii="Times New Roman" w:hAnsi="Times New Roman" w:cs="Times New Roman"/>
          <w:sz w:val="24"/>
          <w:szCs w:val="24"/>
        </w:rPr>
        <w:t xml:space="preserve">Vincent I., </w:t>
      </w:r>
      <w:proofErr w:type="spellStart"/>
      <w:r w:rsidRPr="008E272F">
        <w:rPr>
          <w:rFonts w:ascii="Times New Roman" w:hAnsi="Times New Roman" w:cs="Times New Roman"/>
          <w:sz w:val="24"/>
          <w:szCs w:val="24"/>
        </w:rPr>
        <w:t>Weinthal</w:t>
      </w:r>
      <w:proofErr w:type="spellEnd"/>
      <w:r w:rsidRPr="008E272F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Hamas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leaders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worth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staggering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$11B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revel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luxury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Gaza’s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peopl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suffer</w:t>
      </w:r>
      <w:proofErr w:type="spellEnd"/>
      <w:r w:rsidRPr="008E272F">
        <w:rPr>
          <w:rFonts w:ascii="Times New Roman" w:hAnsi="Times New Roman" w:cs="Times New Roman"/>
          <w:sz w:val="24"/>
          <w:szCs w:val="24"/>
        </w:rPr>
        <w:t xml:space="preserve">. // </w:t>
      </w:r>
      <w:proofErr w:type="spellStart"/>
      <w:r w:rsidRPr="008E272F">
        <w:rPr>
          <w:rFonts w:ascii="Times New Roman" w:hAnsi="Times New Roman" w:cs="Times New Roman"/>
          <w:i/>
          <w:sz w:val="24"/>
          <w:szCs w:val="24"/>
          <w:lang w:val="uk-UA"/>
        </w:rPr>
        <w:t>New</w:t>
      </w:r>
      <w:proofErr w:type="spellEnd"/>
      <w:r w:rsidRPr="008E272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i/>
          <w:sz w:val="24"/>
          <w:szCs w:val="24"/>
          <w:lang w:val="uk-UA"/>
        </w:rPr>
        <w:t>York</w:t>
      </w:r>
      <w:proofErr w:type="spellEnd"/>
      <w:r w:rsidRPr="008E272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i/>
          <w:sz w:val="24"/>
          <w:szCs w:val="24"/>
          <w:lang w:val="uk-UA"/>
        </w:rPr>
        <w:t>Pos</w:t>
      </w:r>
      <w:proofErr w:type="spellEnd"/>
      <w:r w:rsidRPr="008E272F">
        <w:rPr>
          <w:rFonts w:ascii="Times New Roman" w:hAnsi="Times New Roman" w:cs="Times New Roman"/>
          <w:i/>
          <w:sz w:val="24"/>
          <w:szCs w:val="24"/>
        </w:rPr>
        <w:t>t.</w:t>
      </w:r>
      <w:r w:rsidRPr="008E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Nov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>. 7, 2023</w:t>
      </w:r>
      <w:r w:rsidRPr="008E272F">
        <w:rPr>
          <w:rFonts w:ascii="Times New Roman" w:hAnsi="Times New Roman" w:cs="Times New Roman"/>
          <w:sz w:val="24"/>
          <w:szCs w:val="24"/>
        </w:rPr>
        <w:t xml:space="preserve">.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URL:</w:t>
      </w:r>
      <w:r w:rsidRPr="008E272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E272F">
          <w:rPr>
            <w:rStyle w:val="a3"/>
            <w:rFonts w:ascii="Times New Roman" w:hAnsi="Times New Roman" w:cs="Times New Roman"/>
            <w:sz w:val="24"/>
            <w:szCs w:val="24"/>
          </w:rPr>
          <w:t>https://nypost.com/2023/11/07/news/hamas-leaders-worth-11bn-live-luxury-lives-in-qatar/</w:t>
        </w:r>
      </w:hyperlink>
    </w:p>
    <w:p w:rsidR="008E272F" w:rsidRPr="008E272F" w:rsidRDefault="008E272F" w:rsidP="00C44E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Mercado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F.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Hamás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recaudó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500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millones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con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negocios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inmobiliarios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en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países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islámicos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//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EsDiario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13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de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Noviembre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de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2023</w:t>
      </w:r>
      <w:r w:rsidRPr="008E272F">
        <w:rPr>
          <w:rFonts w:ascii="Times New Roman" w:hAnsi="Times New Roman" w:cs="Times New Roman"/>
          <w:sz w:val="24"/>
          <w:szCs w:val="24"/>
        </w:rPr>
        <w:t xml:space="preserve">.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URL:</w:t>
      </w:r>
      <w:r w:rsidRPr="008E272F">
        <w:rPr>
          <w:sz w:val="24"/>
          <w:szCs w:val="24"/>
        </w:rPr>
        <w:t xml:space="preserve"> </w:t>
      </w:r>
      <w:hyperlink r:id="rId6" w:history="1">
        <w:r w:rsidRPr="008E272F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https://www.esdiario.com/investigacion/168421042/turquia-israel-hamas.html</w:t>
        </w:r>
      </w:hyperlink>
    </w:p>
    <w:p w:rsidR="008E272F" w:rsidRPr="008E272F" w:rsidRDefault="008E272F" w:rsidP="00E55FB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Treasury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Targets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Covert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Hamas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Investment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Network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Finance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Official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// U.S.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Department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Treasury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May 24, 2022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E272F">
        <w:rPr>
          <w:sz w:val="24"/>
          <w:szCs w:val="24"/>
          <w:lang w:val="uk-UA"/>
        </w:rPr>
        <w:t xml:space="preserve">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URL: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7" w:history="1">
        <w:r w:rsidRPr="008E272F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https://home.treasury.gov/news/press-releases/jy0798</w:t>
        </w:r>
      </w:hyperlink>
    </w:p>
    <w:p w:rsidR="008E272F" w:rsidRPr="008E272F" w:rsidRDefault="008E272F" w:rsidP="003950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 w:rsidRPr="008E272F">
        <w:rPr>
          <w:rFonts w:ascii="Times New Roman" w:hAnsi="Times New Roman" w:cs="Times New Roman"/>
          <w:sz w:val="24"/>
          <w:szCs w:val="24"/>
        </w:rPr>
        <w:t>Tenenbaum</w:t>
      </w:r>
      <w:proofErr w:type="spellEnd"/>
      <w:r w:rsidRPr="008E272F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Poor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Gaza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rich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Hamas</w:t>
      </w:r>
      <w:proofErr w:type="spellEnd"/>
      <w:r w:rsidRPr="008E272F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Globes</w:t>
      </w:r>
      <w:proofErr w:type="spellEnd"/>
      <w:r w:rsidRPr="008E272F">
        <w:rPr>
          <w:rFonts w:ascii="Times New Roman" w:hAnsi="Times New Roman" w:cs="Times New Roman"/>
          <w:sz w:val="24"/>
          <w:szCs w:val="24"/>
        </w:rPr>
        <w:t xml:space="preserve">.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29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Oct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>, 2023</w:t>
      </w:r>
      <w:r w:rsidRPr="008E272F">
        <w:rPr>
          <w:rFonts w:ascii="Times New Roman" w:hAnsi="Times New Roman" w:cs="Times New Roman"/>
          <w:sz w:val="24"/>
          <w:szCs w:val="24"/>
        </w:rPr>
        <w:t xml:space="preserve">.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URL:</w:t>
      </w:r>
      <w:r w:rsidRPr="008E272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8E272F">
          <w:rPr>
            <w:rStyle w:val="a3"/>
            <w:rFonts w:ascii="Times New Roman" w:hAnsi="Times New Roman" w:cs="Times New Roman"/>
            <w:sz w:val="24"/>
            <w:szCs w:val="24"/>
          </w:rPr>
          <w:t>https://en.globes.co.il/en/article-poor-gaza-rich-hamas-1001461154</w:t>
        </w:r>
      </w:hyperlink>
    </w:p>
    <w:p w:rsidR="008E272F" w:rsidRPr="008E272F" w:rsidRDefault="008E272F" w:rsidP="00D46F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World’s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10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Richest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Terrorist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E272F">
        <w:rPr>
          <w:rFonts w:ascii="Times New Roman" w:hAnsi="Times New Roman" w:cs="Times New Roman"/>
          <w:sz w:val="24"/>
          <w:szCs w:val="24"/>
          <w:lang w:val="uk-UA"/>
        </w:rPr>
        <w:t>Organizations</w:t>
      </w:r>
      <w:proofErr w:type="spellEnd"/>
      <w:r w:rsidRPr="008E272F">
        <w:rPr>
          <w:rFonts w:ascii="Times New Roman" w:hAnsi="Times New Roman" w:cs="Times New Roman"/>
          <w:sz w:val="24"/>
          <w:szCs w:val="24"/>
          <w:lang w:val="uk-UA"/>
        </w:rPr>
        <w:t xml:space="preserve"> // </w:t>
      </w:r>
      <w:r w:rsidRPr="008E272F">
        <w:rPr>
          <w:rFonts w:ascii="Times New Roman" w:hAnsi="Times New Roman" w:cs="Times New Roman"/>
          <w:sz w:val="24"/>
          <w:szCs w:val="24"/>
        </w:rPr>
        <w:t xml:space="preserve">Forbes. Dec 12, 2014/ </w:t>
      </w:r>
      <w:r w:rsidRPr="008E272F">
        <w:rPr>
          <w:rFonts w:ascii="Times New Roman" w:hAnsi="Times New Roman" w:cs="Times New Roman"/>
          <w:sz w:val="24"/>
          <w:szCs w:val="24"/>
          <w:lang w:val="uk-UA"/>
        </w:rPr>
        <w:t>URL:</w:t>
      </w:r>
      <w:r w:rsidRPr="008E272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E272F">
          <w:rPr>
            <w:rStyle w:val="a3"/>
            <w:rFonts w:ascii="Times New Roman" w:hAnsi="Times New Roman" w:cs="Times New Roman"/>
            <w:sz w:val="24"/>
            <w:szCs w:val="24"/>
          </w:rPr>
          <w:t>https://www.forbes.com/pictures/ghki45efh/2-hamas-annual-turnover-1-billion/?sh=183410282c13</w:t>
        </w:r>
      </w:hyperlink>
    </w:p>
    <w:p w:rsidR="0039501F" w:rsidRPr="008E272F" w:rsidRDefault="0039501F" w:rsidP="003950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9501F" w:rsidRPr="008E272F" w:rsidSect="00A2472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C7"/>
    <w:rsid w:val="001937BE"/>
    <w:rsid w:val="001D12C7"/>
    <w:rsid w:val="002C4D2A"/>
    <w:rsid w:val="003024C9"/>
    <w:rsid w:val="0035262C"/>
    <w:rsid w:val="0039501F"/>
    <w:rsid w:val="00462C17"/>
    <w:rsid w:val="00485868"/>
    <w:rsid w:val="00516A1E"/>
    <w:rsid w:val="006573FB"/>
    <w:rsid w:val="007604B6"/>
    <w:rsid w:val="008E272F"/>
    <w:rsid w:val="00A2472D"/>
    <w:rsid w:val="00A30A06"/>
    <w:rsid w:val="00AF0712"/>
    <w:rsid w:val="00B64EAD"/>
    <w:rsid w:val="00C11A4B"/>
    <w:rsid w:val="00C44E09"/>
    <w:rsid w:val="00C63902"/>
    <w:rsid w:val="00D46F56"/>
    <w:rsid w:val="00E143F7"/>
    <w:rsid w:val="00E45355"/>
    <w:rsid w:val="00E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E560"/>
  <w15:chartTrackingRefBased/>
  <w15:docId w15:val="{A5403E8E-9214-4464-973E-A6650E3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14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47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3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302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5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5262C"/>
    <w:rPr>
      <w:b/>
      <w:bCs/>
    </w:rPr>
  </w:style>
  <w:style w:type="character" w:customStyle="1" w:styleId="9u4prqql">
    <w:name w:val="_9u4prqql"/>
    <w:basedOn w:val="a0"/>
    <w:rsid w:val="00D46F56"/>
  </w:style>
  <w:style w:type="paragraph" w:styleId="HTML">
    <w:name w:val="HTML Preformatted"/>
    <w:basedOn w:val="a"/>
    <w:link w:val="HTML0"/>
    <w:uiPriority w:val="99"/>
    <w:semiHidden/>
    <w:unhideWhenUsed/>
    <w:rsid w:val="00C11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A4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11A4B"/>
  </w:style>
  <w:style w:type="character" w:customStyle="1" w:styleId="field">
    <w:name w:val="field"/>
    <w:basedOn w:val="a0"/>
    <w:rsid w:val="00E5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globes.co.il/en/article-poor-gaza-rich-hamas-10014611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me.treasury.gov/news/press-releases/jy07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diario.com/investigacion/168421042/turquia-israel-hama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ypost.com/2023/11/07/news/hamas-leaders-worth-11bn-live-luxury-lives-in-qatar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.d.tataki@op.edu.ua" TargetMode="External"/><Relationship Id="rId9" Type="http://schemas.openxmlformats.org/officeDocument/2006/relationships/hyperlink" Target="https://www.forbes.com/pictures/ghki45efh/2-hamas-annual-turnover-1-billion/?sh=183410282c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2023-11-13T02:42:00Z</dcterms:created>
  <dcterms:modified xsi:type="dcterms:W3CDTF">2023-11-13T05:55:00Z</dcterms:modified>
</cp:coreProperties>
</file>