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制造领航数据库 RAG 与 Agent 任务分工</w:t>
      </w:r>
    </w:p>
    <w:p>
      <w:r>
        <w:t>2026 年 10 月 28 日｜项目统筹：梁晓添｜协作成员：龚同学</w:t>
      </w:r>
    </w:p>
    <w:p>
      <w:r>
        <w:t>本文件明确当前尚未完成的后端能力、两人的交付边界和验收方式。公开预览目前是静态演示前端；企业数据与模型密钥尚未取得。开发时可用虚构资料验证流程，但不能将模拟结果称为真实企业诊断。</w:t>
      </w:r>
    </w:p>
    <w:p>
      <w:pPr>
        <w:pStyle w:val="Heading1"/>
      </w:pPr>
      <w:r>
        <w:t>任务分工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</w:tcPr>
          <w:p>
            <w:r>
              <w:t>负责人</w:t>
            </w:r>
          </w:p>
        </w:tc>
        <w:tc>
          <w:tcPr>
            <w:tcW w:type="dxa" w:w="3293"/>
            <w:vAlign w:val="center"/>
          </w:tcPr>
          <w:p>
            <w:r>
              <w:t>任务</w:t>
            </w:r>
          </w:p>
        </w:tc>
        <w:tc>
          <w:tcPr>
            <w:tcW w:type="dxa" w:w="3293"/>
            <w:vAlign w:val="center"/>
          </w:tcPr>
          <w:p>
            <w:r>
              <w:t>交付与验收</w:t>
            </w:r>
          </w:p>
        </w:tc>
      </w:tr>
      <w:tr>
        <w:tc>
          <w:tcPr>
            <w:tcW w:type="dxa" w:w="3293"/>
            <w:vAlign w:val="center"/>
          </w:tcPr>
          <w:p>
            <w:r>
              <w:t>梁晓添与 Codex</w:t>
            </w:r>
          </w:p>
        </w:tc>
        <w:tc>
          <w:tcPr>
            <w:tcW w:type="dxa" w:w="3293"/>
            <w:vAlign w:val="center"/>
          </w:tcPr>
          <w:p>
            <w:r>
              <w:t>数据库与业务服务</w:t>
            </w:r>
          </w:p>
        </w:tc>
        <w:tc>
          <w:tcPr>
            <w:tcW w:type="dxa" w:w="3293"/>
            <w:vAlign w:val="center"/>
          </w:tcPr>
          <w:p>
            <w:r>
              <w:t>PostgreSQL 迁移和启动可复现；业务数据重启后保留；权限与关键接口通过测试。</w:t>
            </w:r>
          </w:p>
        </w:tc>
      </w:tr>
      <w:tr>
        <w:tc>
          <w:tcPr>
            <w:tcW w:type="dxa" w:w="3293"/>
            <w:vAlign w:val="center"/>
          </w:tcPr>
          <w:p>
            <w:r>
              <w:t>龚同学</w:t>
            </w:r>
          </w:p>
        </w:tc>
        <w:tc>
          <w:tcPr>
            <w:tcW w:type="dxa" w:w="3293"/>
            <w:vAlign w:val="center"/>
          </w:tcPr>
          <w:p>
            <w:r>
              <w:t>真实 RAG</w:t>
            </w:r>
          </w:p>
        </w:tc>
        <w:tc>
          <w:tcPr>
            <w:tcW w:type="dxa" w:w="3293"/>
            <w:vAlign w:val="center"/>
          </w:tcPr>
          <w:p>
            <w:r>
              <w:t>上传和解析授权文档；按设备与型号检索；返回可追溯片段；模型失败或证据不足时明确降级。</w:t>
            </w:r>
          </w:p>
        </w:tc>
      </w:tr>
      <w:tr>
        <w:tc>
          <w:tcPr>
            <w:tcW w:type="dxa" w:w="3293"/>
            <w:vAlign w:val="center"/>
          </w:tcPr>
          <w:p>
            <w:r>
              <w:t>梁晓添与 Codex</w:t>
            </w:r>
          </w:p>
        </w:tc>
        <w:tc>
          <w:tcPr>
            <w:tcW w:type="dxa" w:w="3293"/>
            <w:vAlign w:val="center"/>
          </w:tcPr>
          <w:p>
            <w:r>
              <w:t>Agent 与业务集成</w:t>
            </w:r>
          </w:p>
        </w:tc>
        <w:tc>
          <w:tcPr>
            <w:tcW w:type="dxa" w:w="3293"/>
            <w:vAlign w:val="center"/>
          </w:tcPr>
          <w:p>
            <w:r>
              <w:t>受控查询设备、检索知识与读取历史工单；展示调用记录；人工确认后才能保存诊断和建单。</w:t>
            </w:r>
          </w:p>
        </w:tc>
      </w:tr>
    </w:tbl>
    <w:p>
      <w:pPr>
        <w:pStyle w:val="Heading1"/>
      </w:pPr>
      <w:r>
        <w:t>梁晓添任务一 数据库</w:t>
      </w:r>
    </w:p>
    <w:p>
      <w:pPr>
        <w:pStyle w:val="ListBullet"/>
      </w:pPr>
      <w:r>
        <w:t>检查 services/business 的 Alembic 迁移与 PostgreSQL 配置，修正启动脚本固定 SQLite 或重复写入演示数据的问题。</w:t>
      </w:r>
    </w:p>
    <w:p>
      <w:pPr>
        <w:pStyle w:val="ListBullet"/>
      </w:pPr>
      <w:r>
        <w:t>提供清晰的本地和部署步骤：创建空库、迁移、可选演示种子、启动 B 服务、健康检查。生产环境不得自动种入虚构账号。</w:t>
      </w:r>
    </w:p>
    <w:p>
      <w:pPr>
        <w:pStyle w:val="ListBullet"/>
      </w:pPr>
      <w:r>
        <w:t>验证设备、告警、人员、诊断、工单与审计记录在服务重启后仍可查询；记录实际测试结果。</w:t>
      </w:r>
    </w:p>
    <w:p>
      <w:pPr>
        <w:pStyle w:val="ListBullet"/>
      </w:pPr>
      <w:r>
        <w:t>交付代码、迁移与回归测试、环境模板和运行说明。公网数据库需要独立服务与连接凭据，不能由静态托管代替。</w:t>
      </w:r>
    </w:p>
    <w:p>
      <w:pPr>
        <w:pStyle w:val="Heading1"/>
      </w:pPr>
      <w:r>
        <w:t>龚同学任务 真实 RAG</w:t>
      </w:r>
    </w:p>
    <w:p>
      <w:pPr>
        <w:pStyle w:val="ListBullet"/>
      </w:pPr>
      <w:r>
        <w:t>以 services/knowledge 为主，在独立分支完善文档上传、解析、存储与检索；保留组织、设备型号和文档版本边界。</w:t>
      </w:r>
    </w:p>
    <w:p>
      <w:pPr>
        <w:pStyle w:val="ListBullet"/>
      </w:pPr>
      <w:r>
        <w:t>诊断响应须包含原文片段、文档标题、版本、页码或明确的未知页码；无证据不能返回貌似确定的结论。</w:t>
      </w:r>
    </w:p>
    <w:p>
      <w:pPr>
        <w:pStyle w:val="ListBullet"/>
      </w:pPr>
      <w:r>
        <w:t>接入可配置的 OpenAI 兼容模型服务，密钥只放服务端；提供超时、鉴权和模型不可用测试。</w:t>
      </w:r>
    </w:p>
    <w:p>
      <w:pPr>
        <w:pStyle w:val="ListBullet"/>
      </w:pPr>
      <w:r>
        <w:t>用获授权资料验收企业 RAG。资料和密钥未到位前，提交可运行的虚构数据集及测试报告，并标明未完成的真实接入验证。</w:t>
      </w:r>
    </w:p>
    <w:p>
      <w:pPr>
        <w:pStyle w:val="Heading1"/>
      </w:pPr>
      <w:r>
        <w:t>梁晓添任务二 Agent 集成</w:t>
      </w:r>
    </w:p>
    <w:p>
      <w:pPr>
        <w:pStyle w:val="ListBullet"/>
      </w:pPr>
      <w:r>
        <w:t>在数据库与 RAG 接口确定后开始。Agent 工具白名单限定为设备查询、知识检索和历史工单读取；写操作不由模型自动执行。</w:t>
      </w:r>
    </w:p>
    <w:p>
      <w:pPr>
        <w:pStyle w:val="ListBullet"/>
      </w:pPr>
      <w:r>
        <w:t>将工具输入输出、引用证据、失败原因和人工确认操作记入可查询审计记录。</w:t>
      </w:r>
    </w:p>
    <w:p>
      <w:pPr>
        <w:pStyle w:val="ListBullet"/>
      </w:pPr>
      <w:r>
        <w:t>由人选择风险等级并确认诊断，再创建工单；维修人员处理、验收和回写设备历史形成闭环。</w:t>
      </w:r>
    </w:p>
    <w:p>
      <w:pPr>
        <w:pStyle w:val="ListBullet"/>
      </w:pPr>
      <w:r>
        <w:t>验证跨组织权限、错误证据、重复确认、模型不可用和工单取消等路径。</w:t>
      </w:r>
    </w:p>
    <w:p>
      <w:pPr>
        <w:pStyle w:val="Heading1"/>
      </w:pPr>
      <w:r>
        <w:t>接口与合并顺序</w:t>
      </w:r>
    </w:p>
    <w:p>
      <w:r>
        <w:t>龚同学可以与数据库任务并行开发，但各用独立分支。先约定设备 ID、组织身份、Bearer 令牌、诊断响应和证据引用字段。合并顺序为数据库、RAG、Agent；每项先通过测试和代码审核，再进入下一项集成。</w:t>
      </w:r>
    </w:p>
    <w:p>
      <w:pPr>
        <w:pStyle w:val="Heading1"/>
      </w:pPr>
      <w:r>
        <w:t>当前边界</w:t>
      </w:r>
    </w:p>
    <w:p>
      <w:r>
        <w:t>现有仓库已含 PostgreSQL 迁移、SQLite 本地演示、BM25 检索、可选模型接口和诊断转工单 API；公网只部署了演示前端。完成本文件的代码任务后，仍需配置公网业务服务、知识服务、持久化数据库、域名与密钥，并执行端到端验收。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ForgePilot 项目任务分工  ·  虚构演示数据不得冒充企业数据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2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