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F6C79">
      <w:pPr>
        <w:spacing w:line="360" w:lineRule="auto"/>
        <w:rPr>
          <w:rFonts w:hint="eastAsia" w:ascii="宋体" w:hAnsi="宋体"/>
          <w:szCs w:val="21"/>
        </w:rPr>
      </w:pPr>
      <w:bookmarkStart w:id="0" w:name="_GoBack"/>
      <w:bookmarkEnd w:id="0"/>
    </w:p>
    <w:p w14:paraId="51E6BAE6">
      <w:pPr>
        <w:adjustRightInd w:val="0"/>
        <w:snapToGrid w:val="0"/>
        <w:spacing w:line="360" w:lineRule="auto"/>
        <w:jc w:val="center"/>
        <w:rPr>
          <w:rFonts w:hint="default" w:ascii="Arial" w:hAnsi="Arial" w:eastAsia="宋体" w:cs="Arial"/>
          <w:kern w:val="0"/>
          <w:sz w:val="32"/>
          <w:szCs w:val="32"/>
          <w:lang w:val="en-US" w:eastAsia="zh-CN"/>
        </w:rPr>
      </w:pPr>
      <w:r>
        <w:rPr>
          <w:rFonts w:hint="eastAsia" w:ascii="Arial" w:hAnsi="Arial" w:cs="Arial"/>
          <w:kern w:val="0"/>
          <w:sz w:val="32"/>
          <w:szCs w:val="32"/>
        </w:rPr>
        <w:t>【实验</w:t>
      </w:r>
      <w:r>
        <w:rPr>
          <w:rFonts w:hint="eastAsia" w:ascii="Arial" w:hAnsi="Arial" w:cs="Arial"/>
          <w:kern w:val="0"/>
          <w:sz w:val="32"/>
          <w:szCs w:val="32"/>
          <w:lang w:val="en-US" w:eastAsia="zh-CN"/>
        </w:rPr>
        <w:t>5</w:t>
      </w:r>
      <w:r>
        <w:rPr>
          <w:rFonts w:hint="eastAsia" w:ascii="Arial" w:hAnsi="Arial" w:cs="Arial"/>
          <w:kern w:val="0"/>
          <w:sz w:val="32"/>
          <w:szCs w:val="32"/>
        </w:rPr>
        <w:t>】</w:t>
      </w:r>
      <w:r>
        <w:rPr>
          <w:rFonts w:hint="eastAsia" w:ascii="Arial" w:hAnsi="Arial" w:cs="Arial"/>
          <w:kern w:val="0"/>
          <w:sz w:val="32"/>
          <w:szCs w:val="32"/>
          <w:lang w:val="en-US" w:eastAsia="zh-CN"/>
        </w:rPr>
        <w:t>数据库安全</w:t>
      </w:r>
    </w:p>
    <w:p w14:paraId="2670AAC8">
      <w:pPr>
        <w:spacing w:line="360" w:lineRule="auto"/>
        <w:rPr>
          <w:rFonts w:hint="eastAsia" w:ascii="宋体" w:hAnsi="宋体"/>
          <w:szCs w:val="21"/>
        </w:rPr>
      </w:pPr>
    </w:p>
    <w:p w14:paraId="2FCDC111">
      <w:pPr>
        <w:spacing w:line="360" w:lineRule="auto"/>
        <w:rPr>
          <w:rFonts w:hint="eastAsia" w:ascii="宋体" w:cs="宋体"/>
          <w:b/>
          <w:kern w:val="0"/>
          <w:sz w:val="28"/>
          <w:szCs w:val="28"/>
        </w:rPr>
      </w:pPr>
      <w:r>
        <w:rPr>
          <w:rFonts w:hint="eastAsia" w:ascii="宋体" w:hAnsi="Times New Roman" w:eastAsia="宋体" w:cs="宋体"/>
          <w:b/>
          <w:kern w:val="0"/>
          <w:sz w:val="28"/>
          <w:szCs w:val="28"/>
        </w:rPr>
        <w:t>【实验目的】</w:t>
      </w:r>
    </w:p>
    <w:p w14:paraId="69515F68">
      <w:pPr>
        <w:spacing w:line="360" w:lineRule="auto"/>
        <w:ind w:firstLine="420" w:firstLineChars="0"/>
        <w:rPr>
          <w:rFonts w:hint="eastAsia" w:ascii="宋体" w:hAnsi="Times New Roman" w:eastAsia="宋体" w:cs="宋体"/>
          <w:b/>
          <w:kern w:val="0"/>
          <w:sz w:val="28"/>
          <w:szCs w:val="28"/>
        </w:rPr>
      </w:pPr>
      <w:r>
        <w:rPr>
          <w:rFonts w:hint="eastAsia" w:ascii="Arial" w:hAnsi="Arial" w:eastAsia="宋体" w:cs="Arial"/>
          <w:kern w:val="0"/>
          <w:sz w:val="24"/>
          <w:szCs w:val="24"/>
          <w:lang w:val="en-US" w:eastAsia="zh-CN"/>
        </w:rPr>
        <w:t>理解数据库安全保护技术的重要性，掌握事务管理、并发控制、锁等重要概念与实现技术，运用嵌入式SQL实现数据库安全管理。</w:t>
      </w:r>
    </w:p>
    <w:p w14:paraId="227D1CF1">
      <w:pPr>
        <w:spacing w:line="360" w:lineRule="auto"/>
        <w:rPr>
          <w:rFonts w:hint="eastAsia" w:ascii="宋体" w:hAnsi="Times New Roman" w:eastAsia="宋体" w:cs="宋体"/>
          <w:b/>
          <w:kern w:val="0"/>
          <w:sz w:val="28"/>
          <w:szCs w:val="28"/>
        </w:rPr>
      </w:pPr>
    </w:p>
    <w:p w14:paraId="5706AFAD">
      <w:pPr>
        <w:spacing w:line="360" w:lineRule="auto"/>
        <w:rPr>
          <w:rFonts w:hint="eastAsia" w:ascii="Arial" w:hAnsi="Arial" w:eastAsia="宋体" w:cs="Arial"/>
          <w:kern w:val="0"/>
          <w:sz w:val="24"/>
          <w:szCs w:val="24"/>
          <w:lang w:val="en-US" w:eastAsia="zh-CN"/>
        </w:rPr>
      </w:pPr>
      <w:r>
        <w:rPr>
          <w:rFonts w:hint="eastAsia" w:ascii="宋体" w:hAnsi="Times New Roman" w:eastAsia="宋体" w:cs="宋体"/>
          <w:b/>
          <w:kern w:val="0"/>
          <w:sz w:val="28"/>
          <w:szCs w:val="28"/>
        </w:rPr>
        <w:t>【</w:t>
      </w:r>
      <w:r>
        <w:rPr>
          <w:rFonts w:hint="eastAsia" w:ascii="宋体" w:eastAsia="宋体" w:cs="宋体"/>
          <w:b/>
          <w:kern w:val="0"/>
          <w:sz w:val="28"/>
          <w:szCs w:val="28"/>
          <w:lang w:val="en-US" w:eastAsia="zh-CN"/>
        </w:rPr>
        <w:t>工程规范</w:t>
      </w:r>
      <w:r>
        <w:rPr>
          <w:rFonts w:hint="eastAsia" w:ascii="宋体" w:hAnsi="Times New Roman" w:eastAsia="宋体" w:cs="宋体"/>
          <w:b/>
          <w:kern w:val="0"/>
          <w:sz w:val="28"/>
          <w:szCs w:val="28"/>
        </w:rPr>
        <w:t>】</w:t>
      </w:r>
    </w:p>
    <w:p w14:paraId="538EE8CB">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1、分析数据库保护技术和事务管理，掌握事务编程的基本语法。</w:t>
      </w:r>
    </w:p>
    <w:p w14:paraId="6210DBDA">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2、设计并发程序，访问设计的数据库小系统，或者通过ROLLBACK（回滚），发现数据库设计的安全隐患与安全问题。</w:t>
      </w:r>
    </w:p>
    <w:p w14:paraId="0D35BA09">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3、分析数据库安全问题出现的原因、说明原理，提出解决方法。</w:t>
      </w:r>
    </w:p>
    <w:p w14:paraId="5BA1F7B6">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4、记录解决安全问题前后的状态，分析比较结果。</w:t>
      </w:r>
    </w:p>
    <w:p w14:paraId="49ED4D87">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5、创建设计触发器，实现数据的安全保护、数据审核、数据完整性、参照完整性、数据恢复等功能。</w:t>
      </w:r>
    </w:p>
    <w:p w14:paraId="0D66533E">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6、参考事务控制语言（TCL），包括COMMIT（提交）命令、SAVEPOINT（保存点）命令、ROLLBACK（回滚）命令，管理数据库。（自学）</w:t>
      </w:r>
    </w:p>
    <w:p w14:paraId="4F80DB8B">
      <w:pPr>
        <w:spacing w:line="360" w:lineRule="auto"/>
        <w:ind w:firstLine="420" w:firstLineChars="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7、参考数据控制语言（DCL），GRANT（授权）命令、REVOKE（撤销）命令，实现不同用户的授权与对于资源的访问控制。（自学）</w:t>
      </w:r>
    </w:p>
    <w:p w14:paraId="7FABBA05">
      <w:pPr>
        <w:spacing w:line="360" w:lineRule="auto"/>
        <w:rPr>
          <w:rFonts w:hint="eastAsia" w:ascii="宋体" w:hAnsi="Times New Roman" w:eastAsia="宋体" w:cs="宋体"/>
          <w:b/>
          <w:kern w:val="0"/>
          <w:sz w:val="28"/>
          <w:szCs w:val="28"/>
        </w:rPr>
      </w:pPr>
    </w:p>
    <w:p w14:paraId="31E8230B">
      <w:pPr>
        <w:spacing w:line="360" w:lineRule="auto"/>
        <w:rPr>
          <w:rFonts w:hint="eastAsia" w:ascii="Arial" w:hAnsi="Arial" w:cs="Arial"/>
          <w:kern w:val="0"/>
          <w:sz w:val="24"/>
        </w:rPr>
      </w:pPr>
      <w:r>
        <w:rPr>
          <w:rFonts w:hint="eastAsia" w:ascii="宋体" w:hAnsi="Times New Roman" w:eastAsia="宋体" w:cs="宋体"/>
          <w:b/>
          <w:kern w:val="0"/>
          <w:sz w:val="28"/>
          <w:szCs w:val="28"/>
        </w:rPr>
        <w:t>【</w:t>
      </w:r>
      <w:r>
        <w:rPr>
          <w:rFonts w:hint="eastAsia" w:ascii="宋体" w:eastAsia="宋体" w:cs="宋体"/>
          <w:b/>
          <w:kern w:val="0"/>
          <w:sz w:val="28"/>
          <w:szCs w:val="28"/>
          <w:lang w:val="en-US" w:eastAsia="zh-CN"/>
        </w:rPr>
        <w:t>工程</w:t>
      </w:r>
      <w:r>
        <w:rPr>
          <w:rFonts w:hint="eastAsia" w:ascii="宋体" w:cs="宋体"/>
          <w:b/>
          <w:kern w:val="0"/>
          <w:sz w:val="28"/>
          <w:szCs w:val="28"/>
        </w:rPr>
        <w:t>准备</w:t>
      </w:r>
      <w:r>
        <w:rPr>
          <w:rFonts w:hint="eastAsia" w:ascii="宋体" w:hAnsi="Times New Roman" w:eastAsia="宋体" w:cs="宋体"/>
          <w:b/>
          <w:kern w:val="0"/>
          <w:sz w:val="28"/>
          <w:szCs w:val="28"/>
        </w:rPr>
        <w:t>】</w:t>
      </w:r>
    </w:p>
    <w:p w14:paraId="71C6814C">
      <w:pPr>
        <w:spacing w:line="360" w:lineRule="auto"/>
        <w:ind w:firstLine="420"/>
        <w:rPr>
          <w:rFonts w:hint="eastAsia" w:ascii="Arial" w:hAnsi="Arial" w:cs="Arial"/>
          <w:kern w:val="0"/>
          <w:sz w:val="24"/>
          <w:szCs w:val="24"/>
        </w:rPr>
      </w:pPr>
      <w:r>
        <w:rPr>
          <w:rFonts w:hint="eastAsia" w:ascii="Arial" w:hAnsi="Arial" w:cs="Arial"/>
          <w:kern w:val="0"/>
          <w:sz w:val="24"/>
          <w:szCs w:val="24"/>
        </w:rPr>
        <w:t>硬件：PC机一台；</w:t>
      </w:r>
    </w:p>
    <w:p w14:paraId="7F0FFE06">
      <w:pPr>
        <w:spacing w:line="360" w:lineRule="auto"/>
        <w:ind w:firstLine="420"/>
        <w:rPr>
          <w:rFonts w:hint="eastAsia" w:ascii="Arial" w:hAnsi="Arial" w:cs="Arial"/>
          <w:kern w:val="0"/>
          <w:sz w:val="24"/>
          <w:szCs w:val="24"/>
        </w:rPr>
      </w:pPr>
      <w:r>
        <w:rPr>
          <w:rFonts w:hint="eastAsia" w:ascii="Arial" w:hAnsi="Arial" w:cs="Arial"/>
          <w:kern w:val="0"/>
          <w:sz w:val="24"/>
          <w:szCs w:val="24"/>
        </w:rPr>
        <w:t>软件：Windows 或linux操作系统，安装</w:t>
      </w:r>
      <w:r>
        <w:rPr>
          <w:rFonts w:hint="eastAsia" w:ascii="Arial" w:hAnsi="Arial" w:cs="Arial"/>
          <w:kern w:val="0"/>
          <w:sz w:val="24"/>
          <w:szCs w:val="24"/>
          <w:lang w:val="en-US" w:eastAsia="zh-CN"/>
        </w:rPr>
        <w:t>MSSQL，或者Oracle，或者Mysql</w:t>
      </w:r>
      <w:r>
        <w:rPr>
          <w:rFonts w:hint="eastAsia" w:ascii="Arial" w:hAnsi="Arial" w:cs="Arial"/>
          <w:kern w:val="0"/>
          <w:sz w:val="24"/>
          <w:szCs w:val="24"/>
        </w:rPr>
        <w:t>。</w:t>
      </w:r>
    </w:p>
    <w:p w14:paraId="650AD957">
      <w:pPr>
        <w:spacing w:line="360" w:lineRule="auto"/>
        <w:rPr>
          <w:rFonts w:hint="eastAsia" w:ascii="宋体" w:hAnsi="Times New Roman" w:eastAsia="宋体" w:cs="宋体"/>
          <w:b/>
          <w:kern w:val="0"/>
          <w:sz w:val="28"/>
          <w:szCs w:val="28"/>
          <w:lang w:val="en-US" w:eastAsia="zh-CN"/>
        </w:rPr>
      </w:pPr>
    </w:p>
    <w:p w14:paraId="5C36596B">
      <w:pPr>
        <w:spacing w:line="360" w:lineRule="auto"/>
        <w:rPr>
          <w:rFonts w:hint="eastAsia" w:ascii="Arial" w:hAnsi="Arial" w:cs="Arial"/>
          <w:kern w:val="0"/>
          <w:sz w:val="24"/>
        </w:rPr>
      </w:pPr>
      <w:r>
        <w:rPr>
          <w:rFonts w:hint="eastAsia" w:ascii="宋体" w:hAnsi="Times New Roman" w:eastAsia="宋体" w:cs="宋体"/>
          <w:b/>
          <w:kern w:val="0"/>
          <w:sz w:val="28"/>
          <w:szCs w:val="28"/>
        </w:rPr>
        <w:t>【</w:t>
      </w:r>
      <w:r>
        <w:rPr>
          <w:rFonts w:hint="eastAsia" w:ascii="宋体" w:hAnsi="Times New Roman" w:eastAsia="宋体" w:cs="宋体"/>
          <w:b/>
          <w:kern w:val="0"/>
          <w:sz w:val="28"/>
          <w:szCs w:val="28"/>
          <w:lang w:val="en-US" w:eastAsia="zh-CN"/>
        </w:rPr>
        <w:t>工程知识</w:t>
      </w:r>
      <w:r>
        <w:rPr>
          <w:rFonts w:hint="eastAsia" w:ascii="宋体" w:hAnsi="Times New Roman" w:eastAsia="宋体" w:cs="宋体"/>
          <w:b/>
          <w:kern w:val="0"/>
          <w:sz w:val="28"/>
          <w:szCs w:val="28"/>
        </w:rPr>
        <w:t>】</w:t>
      </w:r>
    </w:p>
    <w:p w14:paraId="76CFBFC3">
      <w:pPr>
        <w:spacing w:line="360" w:lineRule="auto"/>
        <w:rPr>
          <w:rFonts w:hint="eastAsia" w:ascii="Arial" w:hAnsi="Arial" w:eastAsia="宋体" w:cs="Arial"/>
          <w:kern w:val="0"/>
          <w:sz w:val="24"/>
          <w:szCs w:val="24"/>
        </w:rPr>
      </w:pPr>
      <w:r>
        <w:rPr>
          <w:rFonts w:hint="eastAsia" w:ascii="Arial" w:hAnsi="Arial" w:eastAsia="宋体" w:cs="Arial"/>
          <w:kern w:val="0"/>
          <w:sz w:val="24"/>
          <w:szCs w:val="24"/>
          <w:lang w:val="en-US" w:eastAsia="zh-CN"/>
        </w:rPr>
        <w:t xml:space="preserve">5.1 </w:t>
      </w:r>
      <w:r>
        <w:rPr>
          <w:rFonts w:hint="eastAsia" w:ascii="Arial" w:hAnsi="Arial" w:eastAsia="宋体" w:cs="Arial"/>
          <w:kern w:val="0"/>
          <w:sz w:val="24"/>
          <w:szCs w:val="24"/>
        </w:rPr>
        <w:t>事务</w:t>
      </w:r>
    </w:p>
    <w:p w14:paraId="12CD3CF6">
      <w:pPr>
        <w:spacing w:line="360" w:lineRule="auto"/>
        <w:rPr>
          <w:rFonts w:hint="eastAsia" w:ascii="Arial" w:hAnsi="Arial" w:eastAsia="宋体" w:cs="Arial"/>
          <w:kern w:val="0"/>
          <w:sz w:val="24"/>
          <w:szCs w:val="24"/>
        </w:rPr>
      </w:pPr>
      <w:r>
        <w:rPr>
          <w:rFonts w:hint="eastAsia" w:ascii="Arial" w:hAnsi="Arial" w:eastAsia="宋体" w:cs="Arial"/>
          <w:kern w:val="0"/>
          <w:sz w:val="24"/>
          <w:szCs w:val="24"/>
          <w:lang w:val="en-US" w:eastAsia="zh-CN"/>
        </w:rPr>
        <w:t>1、</w:t>
      </w:r>
      <w:r>
        <w:rPr>
          <w:rFonts w:hint="eastAsia" w:ascii="Arial" w:hAnsi="Arial" w:eastAsia="宋体" w:cs="Arial"/>
          <w:kern w:val="0"/>
          <w:sz w:val="24"/>
          <w:szCs w:val="24"/>
        </w:rPr>
        <w:t>概念</w:t>
      </w:r>
    </w:p>
    <w:p w14:paraId="70881024">
      <w:pPr>
        <w:spacing w:line="360" w:lineRule="auto"/>
        <w:ind w:firstLine="420"/>
        <w:rPr>
          <w:rFonts w:hint="eastAsia" w:ascii="Arial" w:hAnsi="Arial" w:eastAsia="宋体" w:cs="Arial"/>
          <w:kern w:val="0"/>
          <w:sz w:val="24"/>
          <w:szCs w:val="24"/>
        </w:rPr>
      </w:pPr>
      <w:r>
        <w:rPr>
          <w:rFonts w:hint="eastAsia" w:ascii="Arial" w:hAnsi="Arial" w:eastAsia="宋体" w:cs="Arial"/>
          <w:kern w:val="0"/>
          <w:sz w:val="24"/>
          <w:szCs w:val="24"/>
        </w:rPr>
        <w:t>形成一个逻辑工作单位的数据库SQL操作语句序列，称为“事务”。</w:t>
      </w:r>
    </w:p>
    <w:p w14:paraId="41AE4F84">
      <w:pPr>
        <w:spacing w:line="360" w:lineRule="auto"/>
        <w:ind w:firstLine="420"/>
        <w:rPr>
          <w:rFonts w:hint="eastAsia" w:ascii="Arial" w:hAnsi="Arial" w:eastAsia="宋体" w:cs="Arial"/>
          <w:kern w:val="0"/>
          <w:sz w:val="24"/>
          <w:szCs w:val="24"/>
        </w:rPr>
      </w:pPr>
      <w:r>
        <w:rPr>
          <w:rFonts w:hint="eastAsia" w:ascii="Arial" w:hAnsi="Arial" w:eastAsia="宋体" w:cs="Arial"/>
          <w:kern w:val="0"/>
          <w:sz w:val="24"/>
          <w:szCs w:val="24"/>
          <w:lang w:eastAsia="zh-CN"/>
        </w:rPr>
        <w:t>（</w:t>
      </w:r>
      <w:r>
        <w:rPr>
          <w:rFonts w:hint="eastAsia" w:ascii="Arial" w:hAnsi="Arial" w:eastAsia="宋体" w:cs="Arial"/>
          <w:kern w:val="0"/>
          <w:sz w:val="24"/>
          <w:szCs w:val="24"/>
          <w:lang w:val="en-US" w:eastAsia="zh-CN"/>
        </w:rPr>
        <w:t>1</w:t>
      </w:r>
      <w:r>
        <w:rPr>
          <w:rFonts w:hint="eastAsia" w:ascii="Arial" w:hAnsi="Arial" w:eastAsia="宋体" w:cs="Arial"/>
          <w:kern w:val="0"/>
          <w:sz w:val="24"/>
          <w:szCs w:val="24"/>
          <w:lang w:eastAsia="zh-CN"/>
        </w:rPr>
        <w:t>）</w:t>
      </w:r>
      <w:r>
        <w:rPr>
          <w:rFonts w:hint="eastAsia" w:ascii="Arial" w:hAnsi="Arial" w:eastAsia="宋体" w:cs="Arial"/>
          <w:kern w:val="0"/>
          <w:sz w:val="24"/>
          <w:szCs w:val="24"/>
        </w:rPr>
        <w:t>不可分割的工作单位</w:t>
      </w:r>
    </w:p>
    <w:p w14:paraId="32386A67">
      <w:pPr>
        <w:spacing w:line="360" w:lineRule="auto"/>
        <w:ind w:firstLine="420"/>
        <w:rPr>
          <w:rFonts w:hint="eastAsia" w:ascii="Arial" w:hAnsi="Arial" w:eastAsia="宋体" w:cs="Arial"/>
          <w:kern w:val="0"/>
          <w:sz w:val="24"/>
          <w:szCs w:val="24"/>
        </w:rPr>
      </w:pPr>
      <w:r>
        <w:rPr>
          <w:rFonts w:hint="eastAsia" w:ascii="Arial" w:hAnsi="Arial" w:eastAsia="宋体" w:cs="Arial"/>
          <w:kern w:val="0"/>
          <w:sz w:val="24"/>
          <w:szCs w:val="24"/>
          <w:lang w:eastAsia="zh-CN"/>
        </w:rPr>
        <w:t>（</w:t>
      </w:r>
      <w:r>
        <w:rPr>
          <w:rFonts w:hint="eastAsia" w:ascii="Arial" w:hAnsi="Arial" w:eastAsia="宋体" w:cs="Arial"/>
          <w:kern w:val="0"/>
          <w:sz w:val="24"/>
          <w:szCs w:val="24"/>
          <w:lang w:val="en-US" w:eastAsia="zh-CN"/>
        </w:rPr>
        <w:t>2</w:t>
      </w:r>
      <w:r>
        <w:rPr>
          <w:rFonts w:hint="eastAsia" w:ascii="Arial" w:hAnsi="Arial" w:eastAsia="宋体" w:cs="Arial"/>
          <w:kern w:val="0"/>
          <w:sz w:val="24"/>
          <w:szCs w:val="24"/>
          <w:lang w:eastAsia="zh-CN"/>
        </w:rPr>
        <w:t>）</w:t>
      </w:r>
      <w:r>
        <w:rPr>
          <w:rFonts w:hint="eastAsia" w:ascii="Arial" w:hAnsi="Arial" w:eastAsia="宋体" w:cs="Arial"/>
          <w:kern w:val="0"/>
          <w:sz w:val="24"/>
          <w:szCs w:val="24"/>
        </w:rPr>
        <w:t>DBS的主要意图就是执行事务</w:t>
      </w:r>
    </w:p>
    <w:p w14:paraId="12BD839E">
      <w:pPr>
        <w:spacing w:line="360" w:lineRule="auto"/>
        <w:rPr>
          <w:rFonts w:hint="eastAsia" w:ascii="Arial" w:hAnsi="Arial" w:eastAsia="宋体" w:cs="Arial"/>
          <w:kern w:val="0"/>
          <w:sz w:val="24"/>
          <w:szCs w:val="24"/>
        </w:rPr>
      </w:pPr>
      <w:r>
        <w:rPr>
          <w:rFonts w:hint="eastAsia" w:ascii="Arial" w:hAnsi="Arial" w:eastAsia="宋体" w:cs="Arial"/>
          <w:kern w:val="0"/>
          <w:sz w:val="24"/>
          <w:szCs w:val="24"/>
          <w:lang w:val="en-US" w:eastAsia="zh-CN"/>
        </w:rPr>
        <w:t>2、</w:t>
      </w:r>
      <w:r>
        <w:rPr>
          <w:rFonts w:hint="eastAsia" w:ascii="Arial" w:hAnsi="Arial" w:eastAsia="宋体" w:cs="Arial"/>
          <w:kern w:val="0"/>
          <w:sz w:val="24"/>
          <w:szCs w:val="24"/>
        </w:rPr>
        <w:t>事务的ACID特性</w:t>
      </w:r>
    </w:p>
    <w:p w14:paraId="6C3B658B">
      <w:pPr>
        <w:spacing w:line="360" w:lineRule="auto"/>
        <w:ind w:firstLine="420"/>
        <w:rPr>
          <w:rFonts w:hint="eastAsia" w:ascii="Arial" w:hAnsi="Arial" w:eastAsia="宋体" w:cs="Arial"/>
          <w:kern w:val="0"/>
          <w:sz w:val="24"/>
          <w:szCs w:val="24"/>
        </w:rPr>
      </w:pPr>
      <w:r>
        <w:rPr>
          <w:rFonts w:hint="eastAsia" w:ascii="Arial" w:hAnsi="Arial" w:eastAsia="宋体" w:cs="Arial"/>
          <w:kern w:val="0"/>
          <w:sz w:val="24"/>
          <w:szCs w:val="24"/>
          <w:lang w:eastAsia="zh-CN"/>
        </w:rPr>
        <w:t>（</w:t>
      </w:r>
      <w:r>
        <w:rPr>
          <w:rFonts w:hint="eastAsia" w:ascii="Arial" w:hAnsi="Arial" w:eastAsia="宋体" w:cs="Arial"/>
          <w:kern w:val="0"/>
          <w:sz w:val="24"/>
          <w:szCs w:val="24"/>
          <w:lang w:val="en-US" w:eastAsia="zh-CN"/>
        </w:rPr>
        <w:t>1</w:t>
      </w:r>
      <w:r>
        <w:rPr>
          <w:rFonts w:hint="eastAsia" w:ascii="Arial" w:hAnsi="Arial" w:eastAsia="宋体" w:cs="Arial"/>
          <w:kern w:val="0"/>
          <w:sz w:val="24"/>
          <w:szCs w:val="24"/>
          <w:lang w:eastAsia="zh-CN"/>
        </w:rPr>
        <w:t>）</w:t>
      </w:r>
      <w:r>
        <w:rPr>
          <w:rFonts w:hint="eastAsia" w:ascii="Arial" w:hAnsi="Arial" w:eastAsia="宋体" w:cs="Arial"/>
          <w:kern w:val="0"/>
          <w:sz w:val="24"/>
          <w:szCs w:val="24"/>
        </w:rPr>
        <w:t>原子性</w:t>
      </w:r>
    </w:p>
    <w:p w14:paraId="6C5C7B87">
      <w:pPr>
        <w:spacing w:line="360" w:lineRule="auto"/>
        <w:ind w:firstLine="420"/>
        <w:rPr>
          <w:rFonts w:hint="eastAsia" w:ascii="Arial" w:hAnsi="Arial" w:eastAsia="宋体" w:cs="Arial"/>
          <w:kern w:val="0"/>
          <w:sz w:val="24"/>
          <w:szCs w:val="24"/>
        </w:rPr>
      </w:pPr>
      <w:r>
        <w:rPr>
          <w:rFonts w:hint="eastAsia" w:ascii="Arial" w:hAnsi="Arial" w:eastAsia="宋体" w:cs="Arial"/>
          <w:kern w:val="0"/>
          <w:sz w:val="24"/>
          <w:szCs w:val="24"/>
        </w:rPr>
        <w:t>一个事务中所有对数据库的操作，是一个不可分割的操作序列。这些操作要么全部执行，要么什么也不做。</w:t>
      </w:r>
    </w:p>
    <w:p w14:paraId="7CA0DFDB">
      <w:pPr>
        <w:spacing w:line="360" w:lineRule="auto"/>
        <w:ind w:firstLine="420"/>
        <w:rPr>
          <w:rFonts w:hint="eastAsia" w:ascii="Arial" w:hAnsi="Arial" w:eastAsia="宋体" w:cs="Arial"/>
          <w:kern w:val="0"/>
          <w:sz w:val="24"/>
          <w:szCs w:val="24"/>
        </w:rPr>
      </w:pPr>
      <w:r>
        <w:rPr>
          <w:rFonts w:hint="eastAsia" w:ascii="Arial" w:hAnsi="Arial" w:eastAsia="宋体" w:cs="Arial"/>
          <w:kern w:val="0"/>
          <w:sz w:val="24"/>
          <w:szCs w:val="24"/>
          <w:lang w:val="en-US" w:eastAsia="zh-CN"/>
        </w:rPr>
        <w:t>（2）</w:t>
      </w:r>
      <w:r>
        <w:rPr>
          <w:rFonts w:hint="eastAsia" w:ascii="Arial" w:hAnsi="Arial" w:eastAsia="宋体" w:cs="Arial"/>
          <w:kern w:val="0"/>
          <w:sz w:val="24"/>
          <w:szCs w:val="24"/>
        </w:rPr>
        <w:t>一致性</w:t>
      </w:r>
    </w:p>
    <w:p w14:paraId="63B81B7F">
      <w:pPr>
        <w:spacing w:line="360" w:lineRule="auto"/>
        <w:ind w:firstLine="420"/>
        <w:rPr>
          <w:rFonts w:hint="eastAsia" w:ascii="Arial" w:hAnsi="Arial" w:eastAsia="宋体" w:cs="Arial"/>
          <w:kern w:val="0"/>
          <w:sz w:val="24"/>
          <w:szCs w:val="24"/>
        </w:rPr>
      </w:pPr>
      <w:r>
        <w:rPr>
          <w:rFonts w:hint="eastAsia" w:ascii="Arial" w:hAnsi="Arial" w:eastAsia="宋体" w:cs="Arial"/>
          <w:kern w:val="0"/>
          <w:sz w:val="24"/>
          <w:szCs w:val="24"/>
        </w:rPr>
        <w:t>一致性表示无论数据库系统中的事务执行成功与否，无论系统处于何种状态，都能保证数据库中的数据始终处于一致状态。即数据库中的数据始终保持正确的状态。</w:t>
      </w:r>
    </w:p>
    <w:p w14:paraId="509D1D41">
      <w:pPr>
        <w:spacing w:line="360" w:lineRule="auto"/>
        <w:ind w:firstLine="420"/>
        <w:rPr>
          <w:rFonts w:hint="eastAsia" w:ascii="Arial" w:hAnsi="Arial" w:eastAsia="宋体" w:cs="Arial"/>
          <w:kern w:val="0"/>
          <w:sz w:val="24"/>
          <w:szCs w:val="24"/>
        </w:rPr>
      </w:pPr>
      <w:r>
        <w:rPr>
          <w:rFonts w:hint="eastAsia" w:ascii="Arial" w:hAnsi="Arial" w:eastAsia="宋体" w:cs="Arial"/>
          <w:kern w:val="0"/>
          <w:sz w:val="24"/>
          <w:szCs w:val="24"/>
          <w:lang w:eastAsia="zh-CN"/>
        </w:rPr>
        <w:t>（</w:t>
      </w:r>
      <w:r>
        <w:rPr>
          <w:rFonts w:hint="eastAsia" w:ascii="Arial" w:hAnsi="Arial" w:eastAsia="宋体" w:cs="Arial"/>
          <w:kern w:val="0"/>
          <w:sz w:val="24"/>
          <w:szCs w:val="24"/>
          <w:lang w:val="en-US" w:eastAsia="zh-CN"/>
        </w:rPr>
        <w:t>3</w:t>
      </w:r>
      <w:r>
        <w:rPr>
          <w:rFonts w:hint="eastAsia" w:ascii="Arial" w:hAnsi="Arial" w:eastAsia="宋体" w:cs="Arial"/>
          <w:kern w:val="0"/>
          <w:sz w:val="24"/>
          <w:szCs w:val="24"/>
          <w:lang w:eastAsia="zh-CN"/>
        </w:rPr>
        <w:t>）</w:t>
      </w:r>
      <w:r>
        <w:rPr>
          <w:rFonts w:hint="eastAsia" w:ascii="Arial" w:hAnsi="Arial" w:eastAsia="宋体" w:cs="Arial"/>
          <w:kern w:val="0"/>
          <w:sz w:val="24"/>
          <w:szCs w:val="24"/>
        </w:rPr>
        <w:t>隔离性</w:t>
      </w:r>
    </w:p>
    <w:p w14:paraId="3D85C1A6">
      <w:pPr>
        <w:spacing w:line="360" w:lineRule="auto"/>
        <w:ind w:firstLine="420"/>
        <w:rPr>
          <w:rFonts w:hint="eastAsia" w:ascii="Arial" w:hAnsi="Arial" w:eastAsia="宋体" w:cs="Arial"/>
          <w:kern w:val="0"/>
          <w:sz w:val="24"/>
          <w:szCs w:val="24"/>
        </w:rPr>
      </w:pPr>
      <w:r>
        <w:rPr>
          <w:rFonts w:hint="eastAsia" w:ascii="Arial" w:hAnsi="Arial" w:eastAsia="宋体" w:cs="Arial"/>
          <w:kern w:val="0"/>
          <w:sz w:val="24"/>
          <w:szCs w:val="24"/>
        </w:rPr>
        <w:t>一个事务的执行不能被其他事务干扰，它的内部的操作及使用的数据对其它并发事务是隔离的，并发执行的各个事务之间可以同时运行而互不影响，如同在单用户环境下执行一样。</w:t>
      </w:r>
    </w:p>
    <w:p w14:paraId="358F2E4F">
      <w:pPr>
        <w:spacing w:line="360" w:lineRule="auto"/>
        <w:ind w:firstLine="420"/>
        <w:rPr>
          <w:rFonts w:hint="eastAsia" w:ascii="Arial" w:hAnsi="Arial" w:eastAsia="宋体" w:cs="Arial"/>
          <w:kern w:val="0"/>
          <w:sz w:val="24"/>
          <w:szCs w:val="24"/>
        </w:rPr>
      </w:pPr>
      <w:r>
        <w:rPr>
          <w:rFonts w:hint="eastAsia" w:ascii="Arial" w:hAnsi="Arial" w:eastAsia="宋体" w:cs="Arial"/>
          <w:kern w:val="0"/>
          <w:sz w:val="24"/>
          <w:szCs w:val="24"/>
          <w:lang w:eastAsia="zh-CN"/>
        </w:rPr>
        <w:t>（</w:t>
      </w:r>
      <w:r>
        <w:rPr>
          <w:rFonts w:hint="eastAsia" w:ascii="Arial" w:hAnsi="Arial" w:eastAsia="宋体" w:cs="Arial"/>
          <w:kern w:val="0"/>
          <w:sz w:val="24"/>
          <w:szCs w:val="24"/>
          <w:lang w:val="en-US" w:eastAsia="zh-CN"/>
        </w:rPr>
        <w:t>4</w:t>
      </w:r>
      <w:r>
        <w:rPr>
          <w:rFonts w:hint="eastAsia" w:ascii="Arial" w:hAnsi="Arial" w:eastAsia="宋体" w:cs="Arial"/>
          <w:kern w:val="0"/>
          <w:sz w:val="24"/>
          <w:szCs w:val="24"/>
          <w:lang w:eastAsia="zh-CN"/>
        </w:rPr>
        <w:t>）</w:t>
      </w:r>
      <w:r>
        <w:rPr>
          <w:rFonts w:hint="eastAsia" w:ascii="Arial" w:hAnsi="Arial" w:eastAsia="宋体" w:cs="Arial"/>
          <w:kern w:val="0"/>
          <w:sz w:val="24"/>
          <w:szCs w:val="24"/>
        </w:rPr>
        <w:t>永久性</w:t>
      </w:r>
    </w:p>
    <w:p w14:paraId="7629F132">
      <w:pPr>
        <w:spacing w:line="360" w:lineRule="auto"/>
        <w:ind w:firstLine="420"/>
        <w:rPr>
          <w:rFonts w:hint="eastAsia" w:ascii="Arial" w:hAnsi="Arial" w:eastAsia="宋体" w:cs="Arial"/>
          <w:kern w:val="0"/>
          <w:sz w:val="24"/>
          <w:szCs w:val="24"/>
        </w:rPr>
      </w:pPr>
      <w:r>
        <w:rPr>
          <w:rFonts w:hint="eastAsia" w:ascii="Arial" w:hAnsi="Arial" w:eastAsia="宋体" w:cs="Arial"/>
          <w:kern w:val="0"/>
          <w:sz w:val="24"/>
          <w:szCs w:val="24"/>
        </w:rPr>
        <w:t>一个事务一旦完成全部操作后，提交结果，它对数据库的所有改变应持久地反映在数据库中。即使以后系统发生故障，也应保留这个事务执行的结果。</w:t>
      </w:r>
    </w:p>
    <w:p w14:paraId="10547D46">
      <w:pPr>
        <w:spacing w:line="360" w:lineRule="auto"/>
        <w:ind w:firstLine="420"/>
        <w:rPr>
          <w:rFonts w:hint="eastAsia" w:ascii="Arial" w:hAnsi="Arial" w:eastAsia="宋体" w:cs="Arial"/>
          <w:kern w:val="0"/>
          <w:sz w:val="24"/>
          <w:szCs w:val="24"/>
        </w:rPr>
      </w:pPr>
    </w:p>
    <w:p w14:paraId="44370C04">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5.2 定义事务</w:t>
      </w:r>
    </w:p>
    <w:p w14:paraId="06EB7C67">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1、微软SQL sever</w:t>
      </w:r>
    </w:p>
    <w:p w14:paraId="21B8D682">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use mydb;</w:t>
      </w:r>
    </w:p>
    <w:p w14:paraId="1D88070F">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Begin</w:t>
      </w:r>
      <w:r>
        <w:rPr>
          <w:rFonts w:hint="eastAsia" w:ascii="Arial" w:hAnsi="Arial" w:eastAsia="宋体" w:cs="Arial"/>
          <w:kern w:val="0"/>
          <w:sz w:val="24"/>
          <w:szCs w:val="24"/>
          <w:lang w:val="en-US" w:eastAsia="zh-CN"/>
        </w:rPr>
        <w:t xml:space="preserve"> transaction</w:t>
      </w:r>
      <w:r>
        <w:rPr>
          <w:rFonts w:hint="default" w:ascii="Arial" w:hAnsi="Arial" w:eastAsia="宋体" w:cs="Arial"/>
          <w:kern w:val="0"/>
          <w:sz w:val="24"/>
          <w:szCs w:val="24"/>
          <w:lang w:val="en-US" w:eastAsia="zh-CN"/>
        </w:rPr>
        <w:t>;</w:t>
      </w:r>
    </w:p>
    <w:p w14:paraId="39FFF9C1">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update c</w:t>
      </w:r>
    </w:p>
    <w:p w14:paraId="7EBC9947">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set classtime = classtime </w:t>
      </w:r>
      <w:r>
        <w:rPr>
          <w:rFonts w:hint="eastAsia" w:ascii="Arial" w:hAnsi="Arial" w:eastAsia="宋体" w:cs="Arial"/>
          <w:kern w:val="0"/>
          <w:sz w:val="24"/>
          <w:szCs w:val="24"/>
          <w:lang w:val="en-US" w:eastAsia="zh-CN"/>
        </w:rPr>
        <w:t>- 5</w:t>
      </w:r>
    </w:p>
    <w:p w14:paraId="7E600D9E">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where cno='001';</w:t>
      </w:r>
    </w:p>
    <w:p w14:paraId="70B4C018">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Commit</w:t>
      </w:r>
      <w:r>
        <w:rPr>
          <w:rFonts w:hint="eastAsia" w:ascii="Arial" w:hAnsi="Arial" w:eastAsia="宋体" w:cs="Arial"/>
          <w:kern w:val="0"/>
          <w:sz w:val="24"/>
          <w:szCs w:val="24"/>
          <w:lang w:val="en-US" w:eastAsia="zh-CN"/>
        </w:rPr>
        <w:t xml:space="preserve"> transaction</w:t>
      </w:r>
      <w:r>
        <w:rPr>
          <w:rFonts w:hint="default" w:ascii="Arial" w:hAnsi="Arial" w:eastAsia="宋体" w:cs="Arial"/>
          <w:kern w:val="0"/>
          <w:sz w:val="24"/>
          <w:szCs w:val="24"/>
          <w:lang w:val="en-US" w:eastAsia="zh-CN"/>
        </w:rPr>
        <w:t>;/*</w:t>
      </w:r>
      <w:r>
        <w:rPr>
          <w:rFonts w:hint="eastAsia" w:ascii="Arial" w:hAnsi="Arial" w:eastAsia="宋体" w:cs="Arial"/>
          <w:kern w:val="0"/>
          <w:sz w:val="24"/>
          <w:szCs w:val="24"/>
          <w:lang w:val="en-US" w:eastAsia="zh-CN"/>
        </w:rPr>
        <w:t>rollback transaction</w:t>
      </w:r>
      <w:r>
        <w:rPr>
          <w:rFonts w:hint="default" w:ascii="Arial" w:hAnsi="Arial" w:eastAsia="宋体" w:cs="Arial"/>
          <w:kern w:val="0"/>
          <w:sz w:val="24"/>
          <w:szCs w:val="24"/>
          <w:lang w:val="en-US" w:eastAsia="zh-CN"/>
        </w:rPr>
        <w:t>*/</w:t>
      </w:r>
    </w:p>
    <w:p w14:paraId="1DEA07C5">
      <w:pPr>
        <w:spacing w:line="360" w:lineRule="auto"/>
        <w:ind w:firstLine="420"/>
        <w:rPr>
          <w:rFonts w:hint="eastAsia" w:ascii="Arial" w:hAnsi="Arial" w:eastAsia="宋体" w:cs="Arial"/>
          <w:kern w:val="0"/>
          <w:sz w:val="24"/>
          <w:szCs w:val="24"/>
          <w:lang w:val="en-US" w:eastAsia="zh-CN"/>
        </w:rPr>
      </w:pPr>
    </w:p>
    <w:p w14:paraId="1805CACC">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2、Mysql</w:t>
      </w:r>
    </w:p>
    <w:p w14:paraId="7DA64402">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use mydb;</w:t>
      </w:r>
    </w:p>
    <w:p w14:paraId="26F885A7">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/*set autocommit=0;*/</w:t>
      </w:r>
    </w:p>
    <w:p w14:paraId="11DDC1C8">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begin;</w:t>
      </w:r>
    </w:p>
    <w:p w14:paraId="66B05EFA">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update c</w:t>
      </w:r>
    </w:p>
    <w:p w14:paraId="07EA5362">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set classtime = classtime </w:t>
      </w:r>
      <w:r>
        <w:rPr>
          <w:rFonts w:hint="eastAsia" w:ascii="Arial" w:hAnsi="Arial" w:eastAsia="宋体" w:cs="Arial"/>
          <w:kern w:val="0"/>
          <w:sz w:val="24"/>
          <w:szCs w:val="24"/>
          <w:lang w:val="en-US" w:eastAsia="zh-CN"/>
        </w:rPr>
        <w:t>+</w:t>
      </w:r>
      <w:r>
        <w:rPr>
          <w:rFonts w:hint="default" w:ascii="Arial" w:hAnsi="Arial" w:eastAsia="宋体" w:cs="Arial"/>
          <w:kern w:val="0"/>
          <w:sz w:val="24"/>
          <w:szCs w:val="24"/>
          <w:lang w:val="en-US" w:eastAsia="zh-CN"/>
        </w:rPr>
        <w:t xml:space="preserve"> </w:t>
      </w:r>
      <w:r>
        <w:rPr>
          <w:rFonts w:hint="eastAsia" w:ascii="Arial" w:hAnsi="Arial" w:eastAsia="宋体" w:cs="Arial"/>
          <w:kern w:val="0"/>
          <w:sz w:val="24"/>
          <w:szCs w:val="24"/>
          <w:lang w:val="en-US" w:eastAsia="zh-CN"/>
        </w:rPr>
        <w:t>10</w:t>
      </w:r>
    </w:p>
    <w:p w14:paraId="68B2D401">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where cno='001';</w:t>
      </w:r>
    </w:p>
    <w:p w14:paraId="75FF545A">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commit;</w:t>
      </w:r>
    </w:p>
    <w:p w14:paraId="7FB48739">
      <w:pPr>
        <w:spacing w:line="360" w:lineRule="auto"/>
        <w:ind w:firstLine="420"/>
        <w:rPr>
          <w:rFonts w:hint="eastAsia" w:ascii="Arial" w:hAnsi="Arial" w:eastAsia="宋体" w:cs="Arial"/>
          <w:kern w:val="0"/>
          <w:sz w:val="24"/>
          <w:szCs w:val="24"/>
        </w:rPr>
      </w:pPr>
    </w:p>
    <w:p w14:paraId="74850569">
      <w:pPr>
        <w:spacing w:line="360" w:lineRule="auto"/>
        <w:ind w:firstLine="420"/>
        <w:rPr>
          <w:rFonts w:hint="eastAsia" w:ascii="Arial" w:hAnsi="Arial" w:eastAsia="宋体" w:cs="Arial"/>
          <w:kern w:val="0"/>
          <w:sz w:val="24"/>
          <w:szCs w:val="24"/>
          <w:lang w:val="en-US" w:eastAsia="zh-CN"/>
        </w:rPr>
      </w:pPr>
    </w:p>
    <w:p w14:paraId="057825A2">
      <w:pPr>
        <w:spacing w:line="360" w:lineRule="auto"/>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5.3 </w:t>
      </w:r>
      <w:r>
        <w:rPr>
          <w:rFonts w:hint="default" w:ascii="Arial" w:hAnsi="Arial" w:eastAsia="宋体" w:cs="Arial"/>
          <w:kern w:val="0"/>
          <w:sz w:val="24"/>
          <w:szCs w:val="24"/>
          <w:lang w:val="en-US" w:eastAsia="zh-CN"/>
        </w:rPr>
        <w:t>锁模式</w:t>
      </w:r>
    </w:p>
    <w:p w14:paraId="7574AD1A">
      <w:pPr>
        <w:spacing w:line="360" w:lineRule="auto"/>
        <w:ind w:firstLine="420"/>
        <w:rPr>
          <w:rFonts w:hint="eastAsia" w:ascii="Arial" w:hAnsi="Arial" w:eastAsia="宋体" w:cs="Arial"/>
          <w:kern w:val="0"/>
          <w:sz w:val="24"/>
          <w:szCs w:val="24"/>
          <w:lang w:val="en-US" w:eastAsia="zh-CN"/>
        </w:rPr>
      </w:pPr>
    </w:p>
    <w:p w14:paraId="29865B40">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1、多事务并发对于数据库影响。</w:t>
      </w:r>
    </w:p>
    <w:p w14:paraId="6749C195">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（1）丢失修改</w:t>
      </w:r>
    </w:p>
    <w:p w14:paraId="02161EB7">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（2）读过时数据（读时，数据正在更新）</w:t>
      </w:r>
    </w:p>
    <w:p w14:paraId="04BF02A9">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（3）读脏数据（读数据，回滚）</w:t>
      </w:r>
    </w:p>
    <w:p w14:paraId="4AF101FF">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2、并发控制锁管理</w:t>
      </w:r>
    </w:p>
    <w:p w14:paraId="239E307D">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（1）</w:t>
      </w:r>
      <w:r>
        <w:rPr>
          <w:rFonts w:hint="default" w:ascii="Arial" w:hAnsi="Arial" w:eastAsia="宋体" w:cs="Arial"/>
          <w:kern w:val="0"/>
          <w:sz w:val="24"/>
          <w:szCs w:val="24"/>
          <w:lang w:val="en-US" w:eastAsia="zh-CN"/>
        </w:rPr>
        <w:t>共享锁</w:t>
      </w:r>
    </w:p>
    <w:p w14:paraId="3ED9B306">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数据被读取时有SQL Server 自动获得。可在表、页面、索引键或单个行上持有共享锁。通常，共享锁只要数据读取完毕就释放，但这会可以通过使用查询提示或不同的事务隔离级别而改变。</w:t>
      </w:r>
    </w:p>
    <w:p w14:paraId="4B6ECDEB">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（2）</w:t>
      </w:r>
      <w:r>
        <w:rPr>
          <w:rFonts w:hint="default" w:ascii="Arial" w:hAnsi="Arial" w:eastAsia="宋体" w:cs="Arial"/>
          <w:kern w:val="0"/>
          <w:sz w:val="24"/>
          <w:szCs w:val="24"/>
          <w:lang w:val="en-US" w:eastAsia="zh-CN"/>
        </w:rPr>
        <w:t>独占锁</w:t>
      </w:r>
    </w:p>
    <w:p w14:paraId="420928A7">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当数据 INSERT、UPDATE 或 DELTE 操作修改时，SQL Server 自动获得数据上的独占锁。在一个特定的数据源上，同一时刻只有一个进程可以获得独占锁；如果一个进程独占地锁定了请求的数据源，那么别的进程无法再此数据源上获得任何种类的锁。独占锁一直持有到事务结束。</w:t>
      </w:r>
    </w:p>
    <w:p w14:paraId="3CC5634A">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（3）</w:t>
      </w:r>
      <w:r>
        <w:rPr>
          <w:rFonts w:hint="default" w:ascii="Arial" w:hAnsi="Arial" w:eastAsia="宋体" w:cs="Arial"/>
          <w:kern w:val="0"/>
          <w:sz w:val="24"/>
          <w:szCs w:val="24"/>
          <w:lang w:val="en-US" w:eastAsia="zh-CN"/>
        </w:rPr>
        <w:t>更新锁</w:t>
      </w:r>
    </w:p>
    <w:p w14:paraId="63E470EC">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更新锁实际上并不是一种独立的锁，而是共享锁和独占锁的混合。当SQL Server执行数据修改操作却首先需要搜索表以找到需要修改的资源时会获得更新锁。不要被名字误导，更新锁并不只是用于 UPDATE 操作。对任何需要在进行实际修改之前搜索数据的修改操作使用更新锁。这样操作包括，首先更新及删除，带有聚集索引的表上进行插入操作。</w:t>
      </w:r>
    </w:p>
    <w:p w14:paraId="6566F63D">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（4）</w:t>
      </w:r>
      <w:r>
        <w:rPr>
          <w:rFonts w:hint="default" w:ascii="Arial" w:hAnsi="Arial" w:eastAsia="宋体" w:cs="Arial"/>
          <w:kern w:val="0"/>
          <w:sz w:val="24"/>
          <w:szCs w:val="24"/>
          <w:lang w:val="en-US" w:eastAsia="zh-CN"/>
        </w:rPr>
        <w:t>意向锁</w:t>
      </w:r>
    </w:p>
    <w:p w14:paraId="3492A9C5">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意向锁的含义是如果对一个结点加意向锁，则说明该结点的下层结点正在被加锁；对任一结点加锁时，必须先对它的上层结点加意向锁。例如，对任一元组加锁时，必须先对它所在的关系加意向锁。</w:t>
      </w:r>
    </w:p>
    <w:p w14:paraId="153B79BE">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于是，事务T要对关系R1加 X锁时，系统只要检查根结点数据库和关系R1是否己加了不相容的锁，而不再需要搜索和检查尺中的每一个元组是否加了X锁。下面介绍三种常用的意向锁：意向共享锁（Intent Share Lock，简称IS锁）；意向排它锁（Intent Exclusive Lock，简称IX锁）；共享意向排它锁（Share Intent Exclusive Lock，简称SIX锁）。</w:t>
      </w:r>
    </w:p>
    <w:p w14:paraId="2D9D6943">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锁的类型</w:t>
      </w:r>
    </w:p>
    <w:p w14:paraId="5CACD8B3">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IS锁：如果对一个数据对象加IS锁，表示它的后裔结点拟（意向）加 S锁。例如，要对某个元组加 S锁，则要首先对关系和数据库加 IS锁。</w:t>
      </w:r>
    </w:p>
    <w:p w14:paraId="45ABCDF4">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IX锁：如果对一个数据对象加 IX锁，表示它的后裔结点拟（意向）加 X锁。例如，要对某个元组加 </w:t>
      </w:r>
    </w:p>
    <w:p w14:paraId="15085CCE">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X锁，则要首先对关系和数据库加 IX锁。</w:t>
      </w:r>
    </w:p>
    <w:p w14:paraId="7C7B8998">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SIX锁：如果对一个数据对象加 SIX锁，表示对它加 S锁，再加IX锁，即 SIX=S＋IX。</w:t>
      </w:r>
    </w:p>
    <w:p w14:paraId="281BE9C3">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例如对某个表加 SIX锁，则表示该事务要读整个表（所以要对该表加 S锁），同时会、更新个别元组（所以要对该表加 IX锁）。</w:t>
      </w:r>
    </w:p>
    <w:p w14:paraId="40815A1B">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（5）</w:t>
      </w:r>
      <w:r>
        <w:rPr>
          <w:rFonts w:hint="default" w:ascii="Arial" w:hAnsi="Arial" w:eastAsia="宋体" w:cs="Arial"/>
          <w:kern w:val="0"/>
          <w:sz w:val="24"/>
          <w:szCs w:val="24"/>
          <w:lang w:val="en-US" w:eastAsia="zh-CN"/>
        </w:rPr>
        <w:t>特殊锁模式</w:t>
      </w:r>
    </w:p>
    <w:p w14:paraId="5A6B0330">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包含三种额外的锁模式：架构稳定锁、架构修改锁和大容量更新锁。当查询被编译时，架构稳定锁会纺织其他进程获取架构修改锁（在表结构被修改时获得）。在执行BULK INSERT 命令或者使用 bcp 实用工具导入数据时会获取大容量更新锁。</w:t>
      </w:r>
    </w:p>
    <w:p w14:paraId="315B7F61">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（6）</w:t>
      </w:r>
      <w:r>
        <w:rPr>
          <w:rFonts w:hint="default" w:ascii="Arial" w:hAnsi="Arial" w:eastAsia="宋体" w:cs="Arial"/>
          <w:kern w:val="0"/>
          <w:sz w:val="24"/>
          <w:szCs w:val="24"/>
          <w:lang w:val="en-US" w:eastAsia="zh-CN"/>
        </w:rPr>
        <w:t>转换锁</w:t>
      </w:r>
    </w:p>
    <w:p w14:paraId="3BC70449">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转换锁不会由 SQL Server直接请求，而是从有一种模式转换到另一种模式所造成的。SQL Server 支持的3类转换锁是SIX、SIU和UIX。其中最常见的是SIX。如果事务持有一个资源上的共享锁（S），然后又需要一个IX锁，此时出现的锁模式就是SIX。例如：假设发出一下批命令：</w:t>
      </w:r>
    </w:p>
    <w:p w14:paraId="1598141E">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SET TRANSACTION ISOLATION LEVEL REPEATABLE READ</w:t>
      </w:r>
    </w:p>
    <w:p w14:paraId="2A7FE4D7">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BEGIN TRAN</w:t>
      </w:r>
    </w:p>
    <w:p w14:paraId="528CF7C5">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 xml:space="preserve">  SELECT * FROM MAINUSER;</w:t>
      </w:r>
    </w:p>
    <w:p w14:paraId="1D43635D">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ab/>
      </w:r>
      <w:r>
        <w:rPr>
          <w:rFonts w:hint="default" w:ascii="Arial" w:hAnsi="Arial" w:eastAsia="宋体" w:cs="Arial"/>
          <w:kern w:val="0"/>
          <w:sz w:val="24"/>
          <w:szCs w:val="24"/>
          <w:lang w:val="en-US" w:eastAsia="zh-CN"/>
        </w:rPr>
        <w:t xml:space="preserve">  UPDATE MAINUSER SET IDCARD = ‘123456’   WHERE USERID = 1;</w:t>
      </w:r>
    </w:p>
    <w:p w14:paraId="4650FE91">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语句会获得一个共享表锁，UPDATE语句获得单个独占锁以执行单个行的更新，而键级别的X锁意味着在页和表级别上存在IX锁。当一个进程在一张表上拥有共享锁并在该表的一行上拥有更新锁时，就出现了SIU锁；而当一个进程在一张表上拥有更新锁并在一行上拥有独占锁时就出现了UIX锁。</w:t>
      </w:r>
    </w:p>
    <w:p w14:paraId="5B75E219">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（7）</w:t>
      </w:r>
      <w:r>
        <w:rPr>
          <w:rFonts w:hint="default" w:ascii="Arial" w:hAnsi="Arial" w:eastAsia="宋体" w:cs="Arial"/>
          <w:kern w:val="0"/>
          <w:sz w:val="24"/>
          <w:szCs w:val="24"/>
          <w:lang w:val="en-US" w:eastAsia="zh-CN"/>
        </w:rPr>
        <w:t>键范围锁</w:t>
      </w:r>
    </w:p>
    <w:p w14:paraId="3D5B0A31">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只在可序列化隔离级别中为了锁定一定范围内的数据而被获取。键范围锁只能在键上获取。其他大多数锁模式能够应用于几乎任何锁资源上。例如，共享锁和独占锁可以在表、页、行或键上获取。</w:t>
      </w:r>
    </w:p>
    <w:p w14:paraId="3A7CA598">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3、</w:t>
      </w:r>
      <w:r>
        <w:rPr>
          <w:rFonts w:hint="default" w:ascii="Arial" w:hAnsi="Arial" w:eastAsia="宋体" w:cs="Arial"/>
          <w:kern w:val="0"/>
          <w:sz w:val="24"/>
          <w:szCs w:val="24"/>
          <w:lang w:val="en-US" w:eastAsia="zh-CN"/>
        </w:rPr>
        <w:t>锁模式简表</w:t>
      </w:r>
    </w:p>
    <w:tbl>
      <w:tblPr>
        <w:tblStyle w:val="10"/>
        <w:tblpPr w:leftFromText="180" w:rightFromText="180" w:vertAnchor="text" w:horzAnchor="page" w:tblpX="784" w:tblpY="339"/>
        <w:tblOverlap w:val="never"/>
        <w:tblW w:w="10847" w:type="dxa"/>
        <w:tblCellSpacing w:w="0" w:type="dxa"/>
        <w:tblInd w:w="0" w:type="dxa"/>
        <w:tblLayout w:type="autofit"/>
        <w:tblCellMar>
          <w:top w:w="0" w:type="dxa"/>
          <w:left w:w="0" w:type="dxa"/>
          <w:bottom w:w="0" w:type="dxa"/>
          <w:right w:w="0" w:type="dxa"/>
        </w:tblCellMar>
      </w:tblPr>
      <w:tblGrid>
        <w:gridCol w:w="976"/>
        <w:gridCol w:w="2883"/>
        <w:gridCol w:w="6988"/>
      </w:tblGrid>
      <w:tr w14:paraId="4CA563DE">
        <w:tblPrEx>
          <w:tblCellMar>
            <w:top w:w="0" w:type="dxa"/>
            <w:left w:w="0" w:type="dxa"/>
            <w:bottom w:w="0" w:type="dxa"/>
            <w:right w:w="0" w:type="dxa"/>
          </w:tblCellMar>
        </w:tblPrEx>
        <w:trPr>
          <w:trHeight w:val="397" w:hRule="atLeast"/>
          <w:tblCellSpacing w:w="0" w:type="dxa"/>
        </w:trPr>
        <w:tc>
          <w:tcPr>
            <w:tcW w:w="976" w:type="dxa"/>
            <w:tcBorders>
              <w:top w:val="single" w:color="000000" w:sz="2" w:space="0"/>
              <w:left w:val="single" w:color="000000" w:sz="2" w:space="0"/>
              <w:bottom w:val="single" w:color="000000" w:sz="2" w:space="0"/>
              <w:right w:val="single" w:color="000000" w:sz="2" w:space="0"/>
            </w:tcBorders>
            <w:shd w:val="clear" w:color="auto" w:fill="4F81BD"/>
            <w:noWrap w:val="0"/>
            <w:tcMar>
              <w:top w:w="72" w:type="dxa"/>
              <w:left w:w="144" w:type="dxa"/>
              <w:bottom w:w="72" w:type="dxa"/>
              <w:right w:w="144" w:type="dxa"/>
            </w:tcMar>
            <w:vAlign w:val="top"/>
          </w:tcPr>
          <w:p w14:paraId="6447699C">
            <w:pPr>
              <w:pStyle w:val="9"/>
              <w:keepNext w:val="0"/>
              <w:keepLines w:val="0"/>
              <w:widowControl/>
              <w:suppressLineNumbers w:val="0"/>
              <w:rPr>
                <w:sz w:val="21"/>
                <w:szCs w:val="21"/>
              </w:rPr>
            </w:pPr>
            <w:r>
              <w:rPr>
                <w:b/>
                <w:bCs/>
                <w:color w:val="FFFFFF"/>
                <w:sz w:val="21"/>
                <w:szCs w:val="21"/>
              </w:rPr>
              <w:t>缩写</w:t>
            </w:r>
          </w:p>
        </w:tc>
        <w:tc>
          <w:tcPr>
            <w:tcW w:w="2883" w:type="dxa"/>
            <w:tcBorders>
              <w:top w:val="single" w:color="000000" w:sz="2" w:space="0"/>
              <w:left w:val="single" w:color="000000" w:sz="2" w:space="0"/>
              <w:bottom w:val="single" w:color="000000" w:sz="2" w:space="0"/>
              <w:right w:val="single" w:color="000000" w:sz="2" w:space="0"/>
            </w:tcBorders>
            <w:shd w:val="clear" w:color="auto" w:fill="4F81BD"/>
            <w:noWrap w:val="0"/>
            <w:tcMar>
              <w:top w:w="72" w:type="dxa"/>
              <w:left w:w="144" w:type="dxa"/>
              <w:bottom w:w="72" w:type="dxa"/>
              <w:right w:w="144" w:type="dxa"/>
            </w:tcMar>
            <w:vAlign w:val="top"/>
          </w:tcPr>
          <w:p w14:paraId="65400559">
            <w:pPr>
              <w:pStyle w:val="9"/>
              <w:keepNext w:val="0"/>
              <w:keepLines w:val="0"/>
              <w:widowControl/>
              <w:suppressLineNumbers w:val="0"/>
              <w:rPr>
                <w:sz w:val="21"/>
                <w:szCs w:val="21"/>
              </w:rPr>
            </w:pPr>
            <w:r>
              <w:rPr>
                <w:b/>
                <w:bCs/>
                <w:color w:val="FFFFFF"/>
                <w:sz w:val="21"/>
                <w:szCs w:val="21"/>
              </w:rPr>
              <w:t>锁模式</w:t>
            </w:r>
          </w:p>
        </w:tc>
        <w:tc>
          <w:tcPr>
            <w:tcW w:w="6988" w:type="dxa"/>
            <w:tcBorders>
              <w:top w:val="single" w:color="000000" w:sz="2" w:space="0"/>
              <w:left w:val="single" w:color="000000" w:sz="2" w:space="0"/>
              <w:bottom w:val="single" w:color="000000" w:sz="2" w:space="0"/>
              <w:right w:val="single" w:color="000000" w:sz="2" w:space="0"/>
            </w:tcBorders>
            <w:shd w:val="clear" w:color="auto" w:fill="4F81BD"/>
            <w:noWrap w:val="0"/>
            <w:tcMar>
              <w:top w:w="72" w:type="dxa"/>
              <w:left w:w="144" w:type="dxa"/>
              <w:bottom w:w="72" w:type="dxa"/>
              <w:right w:w="144" w:type="dxa"/>
            </w:tcMar>
            <w:vAlign w:val="top"/>
          </w:tcPr>
          <w:p w14:paraId="7D76E62C">
            <w:pPr>
              <w:pStyle w:val="9"/>
              <w:keepNext w:val="0"/>
              <w:keepLines w:val="0"/>
              <w:widowControl/>
              <w:suppressLineNumbers w:val="0"/>
              <w:rPr>
                <w:sz w:val="21"/>
                <w:szCs w:val="21"/>
              </w:rPr>
            </w:pPr>
            <w:r>
              <w:rPr>
                <w:b/>
                <w:bCs/>
                <w:color w:val="FFFFFF"/>
                <w:sz w:val="21"/>
                <w:szCs w:val="21"/>
              </w:rPr>
              <w:t>说       明</w:t>
            </w:r>
          </w:p>
        </w:tc>
      </w:tr>
      <w:tr w14:paraId="133AC386">
        <w:tblPrEx>
          <w:tblCellMar>
            <w:top w:w="0" w:type="dxa"/>
            <w:left w:w="0" w:type="dxa"/>
            <w:bottom w:w="0" w:type="dxa"/>
            <w:right w:w="0" w:type="dxa"/>
          </w:tblCellMar>
        </w:tblPrEx>
        <w:trPr>
          <w:trHeight w:val="397" w:hRule="atLeast"/>
          <w:tblCellSpacing w:w="0" w:type="dxa"/>
        </w:trPr>
        <w:tc>
          <w:tcPr>
            <w:tcW w:w="976"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2C45BA73">
            <w:pPr>
              <w:pStyle w:val="9"/>
              <w:keepNext w:val="0"/>
              <w:keepLines w:val="0"/>
              <w:widowControl/>
              <w:suppressLineNumbers w:val="0"/>
              <w:rPr>
                <w:sz w:val="21"/>
                <w:szCs w:val="21"/>
              </w:rPr>
            </w:pPr>
            <w:r>
              <w:rPr>
                <w:b/>
                <w:bCs/>
                <w:color w:val="000000"/>
                <w:sz w:val="21"/>
                <w:szCs w:val="21"/>
              </w:rPr>
              <w:t>S</w:t>
            </w:r>
          </w:p>
        </w:tc>
        <w:tc>
          <w:tcPr>
            <w:tcW w:w="2883"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0DA409D7">
            <w:pPr>
              <w:pStyle w:val="9"/>
              <w:keepNext w:val="0"/>
              <w:keepLines w:val="0"/>
              <w:widowControl/>
              <w:suppressLineNumbers w:val="0"/>
              <w:rPr>
                <w:sz w:val="21"/>
                <w:szCs w:val="21"/>
              </w:rPr>
            </w:pPr>
            <w:r>
              <w:rPr>
                <w:b/>
                <w:bCs/>
                <w:color w:val="000000"/>
                <w:sz w:val="21"/>
                <w:szCs w:val="21"/>
              </w:rPr>
              <w:t>Shared</w:t>
            </w:r>
          </w:p>
        </w:tc>
        <w:tc>
          <w:tcPr>
            <w:tcW w:w="6988"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5C99A3C4">
            <w:pPr>
              <w:pStyle w:val="9"/>
              <w:keepNext w:val="0"/>
              <w:keepLines w:val="0"/>
              <w:widowControl/>
              <w:suppressLineNumbers w:val="0"/>
              <w:rPr>
                <w:sz w:val="21"/>
                <w:szCs w:val="21"/>
              </w:rPr>
            </w:pPr>
            <w:r>
              <w:rPr>
                <w:color w:val="000000"/>
                <w:sz w:val="21"/>
                <w:szCs w:val="21"/>
              </w:rPr>
              <w:t>允许其他进程读取但不能修改锁定的资源</w:t>
            </w:r>
          </w:p>
        </w:tc>
      </w:tr>
      <w:tr w14:paraId="1EFE5ADA">
        <w:tblPrEx>
          <w:tblCellMar>
            <w:top w:w="0" w:type="dxa"/>
            <w:left w:w="0" w:type="dxa"/>
            <w:bottom w:w="0" w:type="dxa"/>
            <w:right w:w="0" w:type="dxa"/>
          </w:tblCellMar>
        </w:tblPrEx>
        <w:trPr>
          <w:trHeight w:val="397" w:hRule="atLeast"/>
          <w:tblCellSpacing w:w="0" w:type="dxa"/>
        </w:trPr>
        <w:tc>
          <w:tcPr>
            <w:tcW w:w="976"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5FBF33D6">
            <w:pPr>
              <w:pStyle w:val="9"/>
              <w:keepNext w:val="0"/>
              <w:keepLines w:val="0"/>
              <w:widowControl/>
              <w:suppressLineNumbers w:val="0"/>
              <w:rPr>
                <w:sz w:val="21"/>
                <w:szCs w:val="21"/>
              </w:rPr>
            </w:pPr>
            <w:r>
              <w:rPr>
                <w:b/>
                <w:bCs/>
                <w:color w:val="000000"/>
                <w:sz w:val="21"/>
                <w:szCs w:val="21"/>
              </w:rPr>
              <w:t>X</w:t>
            </w:r>
          </w:p>
        </w:tc>
        <w:tc>
          <w:tcPr>
            <w:tcW w:w="2883"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3C3866E8">
            <w:pPr>
              <w:pStyle w:val="9"/>
              <w:keepNext w:val="0"/>
              <w:keepLines w:val="0"/>
              <w:widowControl/>
              <w:suppressLineNumbers w:val="0"/>
              <w:rPr>
                <w:sz w:val="21"/>
                <w:szCs w:val="21"/>
              </w:rPr>
            </w:pPr>
            <w:r>
              <w:rPr>
                <w:b/>
                <w:bCs/>
                <w:color w:val="000000"/>
                <w:sz w:val="21"/>
                <w:szCs w:val="21"/>
              </w:rPr>
              <w:t>Exclusive</w:t>
            </w:r>
          </w:p>
        </w:tc>
        <w:tc>
          <w:tcPr>
            <w:tcW w:w="6988"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570F4F2A">
            <w:pPr>
              <w:pStyle w:val="9"/>
              <w:keepNext w:val="0"/>
              <w:keepLines w:val="0"/>
              <w:widowControl/>
              <w:suppressLineNumbers w:val="0"/>
              <w:rPr>
                <w:sz w:val="21"/>
                <w:szCs w:val="21"/>
              </w:rPr>
            </w:pPr>
            <w:r>
              <w:rPr>
                <w:color w:val="000000"/>
                <w:sz w:val="21"/>
                <w:szCs w:val="21"/>
              </w:rPr>
              <w:t>防止别的进程修改或者读取锁定资源中的数据</w:t>
            </w:r>
          </w:p>
        </w:tc>
      </w:tr>
      <w:tr w14:paraId="15DB0566">
        <w:tblPrEx>
          <w:tblCellMar>
            <w:top w:w="0" w:type="dxa"/>
            <w:left w:w="0" w:type="dxa"/>
            <w:bottom w:w="0" w:type="dxa"/>
            <w:right w:w="0" w:type="dxa"/>
          </w:tblCellMar>
        </w:tblPrEx>
        <w:trPr>
          <w:trHeight w:val="397" w:hRule="atLeast"/>
          <w:tblCellSpacing w:w="0" w:type="dxa"/>
        </w:trPr>
        <w:tc>
          <w:tcPr>
            <w:tcW w:w="976"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7A92D8EC">
            <w:pPr>
              <w:pStyle w:val="9"/>
              <w:keepNext w:val="0"/>
              <w:keepLines w:val="0"/>
              <w:widowControl/>
              <w:suppressLineNumbers w:val="0"/>
              <w:rPr>
                <w:sz w:val="21"/>
                <w:szCs w:val="21"/>
              </w:rPr>
            </w:pPr>
            <w:r>
              <w:rPr>
                <w:b/>
                <w:bCs/>
                <w:color w:val="000000"/>
                <w:sz w:val="21"/>
                <w:szCs w:val="21"/>
              </w:rPr>
              <w:t>U</w:t>
            </w:r>
          </w:p>
        </w:tc>
        <w:tc>
          <w:tcPr>
            <w:tcW w:w="2883"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124B3650">
            <w:pPr>
              <w:pStyle w:val="9"/>
              <w:keepNext w:val="0"/>
              <w:keepLines w:val="0"/>
              <w:widowControl/>
              <w:suppressLineNumbers w:val="0"/>
              <w:rPr>
                <w:sz w:val="21"/>
                <w:szCs w:val="21"/>
              </w:rPr>
            </w:pPr>
            <w:r>
              <w:rPr>
                <w:b/>
                <w:bCs/>
                <w:color w:val="000000"/>
                <w:sz w:val="21"/>
                <w:szCs w:val="21"/>
              </w:rPr>
              <w:t>Update</w:t>
            </w:r>
          </w:p>
        </w:tc>
        <w:tc>
          <w:tcPr>
            <w:tcW w:w="6988"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67A8D6FE">
            <w:pPr>
              <w:pStyle w:val="9"/>
              <w:keepNext w:val="0"/>
              <w:keepLines w:val="0"/>
              <w:widowControl/>
              <w:suppressLineNumbers w:val="0"/>
              <w:rPr>
                <w:sz w:val="21"/>
                <w:szCs w:val="21"/>
              </w:rPr>
            </w:pPr>
            <w:r>
              <w:rPr>
                <w:color w:val="000000"/>
                <w:sz w:val="21"/>
                <w:szCs w:val="21"/>
              </w:rPr>
              <w:t>防止其他进程过的更新锁或独占锁；在搜索要修改的数据时使用</w:t>
            </w:r>
          </w:p>
        </w:tc>
      </w:tr>
      <w:tr w14:paraId="61FD0E77">
        <w:tblPrEx>
          <w:tblCellMar>
            <w:top w:w="0" w:type="dxa"/>
            <w:left w:w="0" w:type="dxa"/>
            <w:bottom w:w="0" w:type="dxa"/>
            <w:right w:w="0" w:type="dxa"/>
          </w:tblCellMar>
        </w:tblPrEx>
        <w:trPr>
          <w:trHeight w:val="397" w:hRule="atLeast"/>
          <w:tblCellSpacing w:w="0" w:type="dxa"/>
        </w:trPr>
        <w:tc>
          <w:tcPr>
            <w:tcW w:w="976"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172B3349">
            <w:pPr>
              <w:pStyle w:val="9"/>
              <w:keepNext w:val="0"/>
              <w:keepLines w:val="0"/>
              <w:widowControl/>
              <w:suppressLineNumbers w:val="0"/>
              <w:rPr>
                <w:sz w:val="21"/>
                <w:szCs w:val="21"/>
              </w:rPr>
            </w:pPr>
            <w:r>
              <w:rPr>
                <w:b/>
                <w:bCs/>
                <w:color w:val="000000"/>
                <w:sz w:val="21"/>
                <w:szCs w:val="21"/>
              </w:rPr>
              <w:t>IS</w:t>
            </w:r>
          </w:p>
        </w:tc>
        <w:tc>
          <w:tcPr>
            <w:tcW w:w="2883"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6D96B0D7">
            <w:pPr>
              <w:pStyle w:val="9"/>
              <w:keepNext w:val="0"/>
              <w:keepLines w:val="0"/>
              <w:widowControl/>
              <w:suppressLineNumbers w:val="0"/>
              <w:rPr>
                <w:sz w:val="21"/>
                <w:szCs w:val="21"/>
              </w:rPr>
            </w:pPr>
            <w:r>
              <w:rPr>
                <w:b/>
                <w:bCs/>
                <w:color w:val="000000"/>
                <w:sz w:val="21"/>
                <w:szCs w:val="21"/>
              </w:rPr>
              <w:t>Intent Shared</w:t>
            </w:r>
          </w:p>
        </w:tc>
        <w:tc>
          <w:tcPr>
            <w:tcW w:w="6988"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533313EE">
            <w:pPr>
              <w:pStyle w:val="9"/>
              <w:keepNext w:val="0"/>
              <w:keepLines w:val="0"/>
              <w:widowControl/>
              <w:suppressLineNumbers w:val="0"/>
              <w:rPr>
                <w:sz w:val="21"/>
                <w:szCs w:val="21"/>
              </w:rPr>
            </w:pPr>
            <w:r>
              <w:rPr>
                <w:color w:val="000000"/>
                <w:sz w:val="21"/>
                <w:szCs w:val="21"/>
              </w:rPr>
              <w:t>表示该资源的一个组件被共享锁锁定了，只有在表或页级别才能获得这类锁</w:t>
            </w:r>
          </w:p>
        </w:tc>
      </w:tr>
      <w:tr w14:paraId="5A8BE7EB">
        <w:tblPrEx>
          <w:tblCellMar>
            <w:top w:w="0" w:type="dxa"/>
            <w:left w:w="0" w:type="dxa"/>
            <w:bottom w:w="0" w:type="dxa"/>
            <w:right w:w="0" w:type="dxa"/>
          </w:tblCellMar>
        </w:tblPrEx>
        <w:trPr>
          <w:trHeight w:val="397" w:hRule="atLeast"/>
          <w:tblCellSpacing w:w="0" w:type="dxa"/>
        </w:trPr>
        <w:tc>
          <w:tcPr>
            <w:tcW w:w="976"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0261A126">
            <w:pPr>
              <w:pStyle w:val="9"/>
              <w:keepNext w:val="0"/>
              <w:keepLines w:val="0"/>
              <w:widowControl/>
              <w:suppressLineNumbers w:val="0"/>
              <w:rPr>
                <w:sz w:val="21"/>
                <w:szCs w:val="21"/>
              </w:rPr>
            </w:pPr>
            <w:r>
              <w:rPr>
                <w:b/>
                <w:bCs/>
                <w:color w:val="000000"/>
                <w:sz w:val="21"/>
                <w:szCs w:val="21"/>
              </w:rPr>
              <w:t>IU</w:t>
            </w:r>
          </w:p>
        </w:tc>
        <w:tc>
          <w:tcPr>
            <w:tcW w:w="2883"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578C9105">
            <w:pPr>
              <w:pStyle w:val="9"/>
              <w:keepNext w:val="0"/>
              <w:keepLines w:val="0"/>
              <w:widowControl/>
              <w:suppressLineNumbers w:val="0"/>
              <w:rPr>
                <w:sz w:val="21"/>
                <w:szCs w:val="21"/>
              </w:rPr>
            </w:pPr>
            <w:r>
              <w:rPr>
                <w:b/>
                <w:bCs/>
                <w:color w:val="000000"/>
                <w:sz w:val="21"/>
                <w:szCs w:val="21"/>
              </w:rPr>
              <w:t>Intent Shared</w:t>
            </w:r>
          </w:p>
        </w:tc>
        <w:tc>
          <w:tcPr>
            <w:tcW w:w="6988"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47EDF152">
            <w:pPr>
              <w:pStyle w:val="9"/>
              <w:keepNext w:val="0"/>
              <w:keepLines w:val="0"/>
              <w:widowControl/>
              <w:suppressLineNumbers w:val="0"/>
              <w:rPr>
                <w:sz w:val="21"/>
                <w:szCs w:val="21"/>
              </w:rPr>
            </w:pPr>
            <w:r>
              <w:rPr>
                <w:color w:val="000000"/>
                <w:sz w:val="21"/>
                <w:szCs w:val="21"/>
              </w:rPr>
              <w:t>表示该资源的一个组件被更新锁锁定了，只有在表或页级别才能获得这类锁</w:t>
            </w:r>
          </w:p>
        </w:tc>
      </w:tr>
      <w:tr w14:paraId="44F8F01B">
        <w:tblPrEx>
          <w:tblCellMar>
            <w:top w:w="0" w:type="dxa"/>
            <w:left w:w="0" w:type="dxa"/>
            <w:bottom w:w="0" w:type="dxa"/>
            <w:right w:w="0" w:type="dxa"/>
          </w:tblCellMar>
        </w:tblPrEx>
        <w:trPr>
          <w:trHeight w:val="397" w:hRule="atLeast"/>
          <w:tblCellSpacing w:w="0" w:type="dxa"/>
        </w:trPr>
        <w:tc>
          <w:tcPr>
            <w:tcW w:w="976"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00541F38">
            <w:pPr>
              <w:pStyle w:val="9"/>
              <w:keepNext w:val="0"/>
              <w:keepLines w:val="0"/>
              <w:widowControl/>
              <w:suppressLineNumbers w:val="0"/>
              <w:rPr>
                <w:sz w:val="21"/>
                <w:szCs w:val="21"/>
              </w:rPr>
            </w:pPr>
            <w:r>
              <w:rPr>
                <w:b/>
                <w:bCs/>
                <w:color w:val="000000"/>
                <w:sz w:val="21"/>
                <w:szCs w:val="21"/>
              </w:rPr>
              <w:t>IX</w:t>
            </w:r>
          </w:p>
        </w:tc>
        <w:tc>
          <w:tcPr>
            <w:tcW w:w="2883"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38BD2884">
            <w:pPr>
              <w:pStyle w:val="9"/>
              <w:keepNext w:val="0"/>
              <w:keepLines w:val="0"/>
              <w:widowControl/>
              <w:suppressLineNumbers w:val="0"/>
              <w:rPr>
                <w:sz w:val="21"/>
                <w:szCs w:val="21"/>
              </w:rPr>
            </w:pPr>
            <w:r>
              <w:rPr>
                <w:b/>
                <w:bCs/>
                <w:color w:val="000000"/>
                <w:sz w:val="21"/>
                <w:szCs w:val="21"/>
              </w:rPr>
              <w:t>Intent Update</w:t>
            </w:r>
          </w:p>
        </w:tc>
        <w:tc>
          <w:tcPr>
            <w:tcW w:w="6988"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0A52B9F8">
            <w:pPr>
              <w:pStyle w:val="9"/>
              <w:keepNext w:val="0"/>
              <w:keepLines w:val="0"/>
              <w:widowControl/>
              <w:suppressLineNumbers w:val="0"/>
              <w:rPr>
                <w:sz w:val="21"/>
                <w:szCs w:val="21"/>
              </w:rPr>
            </w:pPr>
            <w:r>
              <w:rPr>
                <w:color w:val="000000"/>
                <w:sz w:val="21"/>
                <w:szCs w:val="21"/>
              </w:rPr>
              <w:t>表示该资源的一个组件被独占锁更新了，只有在表或页级别才能获得这类锁</w:t>
            </w:r>
          </w:p>
        </w:tc>
      </w:tr>
      <w:tr w14:paraId="0C8E0D2D">
        <w:tblPrEx>
          <w:tblCellMar>
            <w:top w:w="0" w:type="dxa"/>
            <w:left w:w="0" w:type="dxa"/>
            <w:bottom w:w="0" w:type="dxa"/>
            <w:right w:w="0" w:type="dxa"/>
          </w:tblCellMar>
        </w:tblPrEx>
        <w:trPr>
          <w:trHeight w:val="397" w:hRule="atLeast"/>
          <w:tblCellSpacing w:w="0" w:type="dxa"/>
        </w:trPr>
        <w:tc>
          <w:tcPr>
            <w:tcW w:w="976"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3A187CDF">
            <w:pPr>
              <w:pStyle w:val="9"/>
              <w:keepNext w:val="0"/>
              <w:keepLines w:val="0"/>
              <w:widowControl/>
              <w:suppressLineNumbers w:val="0"/>
              <w:rPr>
                <w:sz w:val="21"/>
                <w:szCs w:val="21"/>
              </w:rPr>
            </w:pPr>
            <w:r>
              <w:rPr>
                <w:b/>
                <w:bCs/>
                <w:color w:val="000000"/>
                <w:sz w:val="21"/>
                <w:szCs w:val="21"/>
              </w:rPr>
              <w:t>SIX</w:t>
            </w:r>
          </w:p>
        </w:tc>
        <w:tc>
          <w:tcPr>
            <w:tcW w:w="2883"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4F4A72B3">
            <w:pPr>
              <w:pStyle w:val="9"/>
              <w:keepNext w:val="0"/>
              <w:keepLines w:val="0"/>
              <w:widowControl/>
              <w:suppressLineNumbers w:val="0"/>
              <w:rPr>
                <w:sz w:val="21"/>
                <w:szCs w:val="21"/>
              </w:rPr>
            </w:pPr>
            <w:r>
              <w:rPr>
                <w:b/>
                <w:bCs/>
                <w:color w:val="000000"/>
                <w:sz w:val="21"/>
                <w:szCs w:val="21"/>
              </w:rPr>
              <w:t>Intent Exclusive</w:t>
            </w:r>
          </w:p>
        </w:tc>
        <w:tc>
          <w:tcPr>
            <w:tcW w:w="6988"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2E1F65AA">
            <w:pPr>
              <w:pStyle w:val="9"/>
              <w:keepNext w:val="0"/>
              <w:keepLines w:val="0"/>
              <w:widowControl/>
              <w:suppressLineNumbers w:val="0"/>
              <w:rPr>
                <w:sz w:val="21"/>
                <w:szCs w:val="21"/>
              </w:rPr>
            </w:pPr>
            <w:r>
              <w:rPr>
                <w:color w:val="000000"/>
                <w:sz w:val="21"/>
                <w:szCs w:val="21"/>
              </w:rPr>
              <w:t>表示一个正持有共享锁的资源还有一个组件（一页或一行）被独占锁锁定了</w:t>
            </w:r>
          </w:p>
        </w:tc>
      </w:tr>
      <w:tr w14:paraId="6FE81058">
        <w:tblPrEx>
          <w:tblCellMar>
            <w:top w:w="0" w:type="dxa"/>
            <w:left w:w="0" w:type="dxa"/>
            <w:bottom w:w="0" w:type="dxa"/>
            <w:right w:w="0" w:type="dxa"/>
          </w:tblCellMar>
        </w:tblPrEx>
        <w:trPr>
          <w:trHeight w:val="397" w:hRule="atLeast"/>
          <w:tblCellSpacing w:w="0" w:type="dxa"/>
        </w:trPr>
        <w:tc>
          <w:tcPr>
            <w:tcW w:w="976"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4B9854C3">
            <w:pPr>
              <w:pStyle w:val="9"/>
              <w:keepNext w:val="0"/>
              <w:keepLines w:val="0"/>
              <w:widowControl/>
              <w:suppressLineNumbers w:val="0"/>
              <w:rPr>
                <w:sz w:val="21"/>
                <w:szCs w:val="21"/>
              </w:rPr>
            </w:pPr>
            <w:r>
              <w:rPr>
                <w:b/>
                <w:bCs/>
                <w:color w:val="000000"/>
                <w:sz w:val="21"/>
                <w:szCs w:val="21"/>
              </w:rPr>
              <w:t>SIU</w:t>
            </w:r>
          </w:p>
        </w:tc>
        <w:tc>
          <w:tcPr>
            <w:tcW w:w="2883"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48BCFDCE">
            <w:pPr>
              <w:pStyle w:val="9"/>
              <w:keepNext w:val="0"/>
              <w:keepLines w:val="0"/>
              <w:widowControl/>
              <w:suppressLineNumbers w:val="0"/>
              <w:rPr>
                <w:sz w:val="21"/>
                <w:szCs w:val="21"/>
              </w:rPr>
            </w:pPr>
            <w:r>
              <w:rPr>
                <w:b/>
                <w:bCs/>
                <w:color w:val="000000"/>
                <w:sz w:val="21"/>
                <w:szCs w:val="21"/>
              </w:rPr>
              <w:t>Shared with intent UPDATE</w:t>
            </w:r>
          </w:p>
        </w:tc>
        <w:tc>
          <w:tcPr>
            <w:tcW w:w="6988"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5C0050F4">
            <w:pPr>
              <w:pStyle w:val="9"/>
              <w:keepNext w:val="0"/>
              <w:keepLines w:val="0"/>
              <w:widowControl/>
              <w:suppressLineNumbers w:val="0"/>
              <w:rPr>
                <w:sz w:val="21"/>
                <w:szCs w:val="21"/>
              </w:rPr>
            </w:pPr>
            <w:r>
              <w:rPr>
                <w:color w:val="000000"/>
                <w:sz w:val="21"/>
                <w:szCs w:val="21"/>
              </w:rPr>
              <w:t>表示一个正持有共享锁的资源还有一个组件（一页或一行）被更新锁锁定了</w:t>
            </w:r>
          </w:p>
        </w:tc>
      </w:tr>
      <w:tr w14:paraId="5F103938">
        <w:tblPrEx>
          <w:tblCellMar>
            <w:top w:w="0" w:type="dxa"/>
            <w:left w:w="0" w:type="dxa"/>
            <w:bottom w:w="0" w:type="dxa"/>
            <w:right w:w="0" w:type="dxa"/>
          </w:tblCellMar>
        </w:tblPrEx>
        <w:trPr>
          <w:trHeight w:val="397" w:hRule="atLeast"/>
          <w:tblCellSpacing w:w="0" w:type="dxa"/>
        </w:trPr>
        <w:tc>
          <w:tcPr>
            <w:tcW w:w="976"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6568CE1E">
            <w:pPr>
              <w:pStyle w:val="9"/>
              <w:keepNext w:val="0"/>
              <w:keepLines w:val="0"/>
              <w:widowControl/>
              <w:suppressLineNumbers w:val="0"/>
              <w:rPr>
                <w:sz w:val="21"/>
                <w:szCs w:val="21"/>
              </w:rPr>
            </w:pPr>
            <w:r>
              <w:rPr>
                <w:b/>
                <w:bCs/>
                <w:color w:val="000000"/>
                <w:sz w:val="21"/>
                <w:szCs w:val="21"/>
              </w:rPr>
              <w:t>UIX</w:t>
            </w:r>
          </w:p>
        </w:tc>
        <w:tc>
          <w:tcPr>
            <w:tcW w:w="2883"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549AD637">
            <w:pPr>
              <w:pStyle w:val="9"/>
              <w:keepNext w:val="0"/>
              <w:keepLines w:val="0"/>
              <w:widowControl/>
              <w:suppressLineNumbers w:val="0"/>
              <w:rPr>
                <w:sz w:val="21"/>
                <w:szCs w:val="21"/>
              </w:rPr>
            </w:pPr>
            <w:r>
              <w:rPr>
                <w:b/>
                <w:bCs/>
                <w:color w:val="000000"/>
                <w:sz w:val="21"/>
                <w:szCs w:val="21"/>
              </w:rPr>
              <w:t>Update with intent exclusive</w:t>
            </w:r>
          </w:p>
        </w:tc>
        <w:tc>
          <w:tcPr>
            <w:tcW w:w="6988"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498C9487">
            <w:pPr>
              <w:pStyle w:val="9"/>
              <w:keepNext w:val="0"/>
              <w:keepLines w:val="0"/>
              <w:widowControl/>
              <w:suppressLineNumbers w:val="0"/>
              <w:rPr>
                <w:sz w:val="21"/>
                <w:szCs w:val="21"/>
              </w:rPr>
            </w:pPr>
            <w:r>
              <w:rPr>
                <w:color w:val="000000"/>
                <w:sz w:val="21"/>
                <w:szCs w:val="21"/>
              </w:rPr>
              <w:t>表示一个正持有更新锁的资源还有一个组件（一页或一行）被独占锁锁定了</w:t>
            </w:r>
          </w:p>
        </w:tc>
      </w:tr>
      <w:tr w14:paraId="4CB551FD">
        <w:tblPrEx>
          <w:tblCellMar>
            <w:top w:w="0" w:type="dxa"/>
            <w:left w:w="0" w:type="dxa"/>
            <w:bottom w:w="0" w:type="dxa"/>
            <w:right w:w="0" w:type="dxa"/>
          </w:tblCellMar>
        </w:tblPrEx>
        <w:trPr>
          <w:trHeight w:val="397" w:hRule="atLeast"/>
          <w:tblCellSpacing w:w="0" w:type="dxa"/>
        </w:trPr>
        <w:tc>
          <w:tcPr>
            <w:tcW w:w="976"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32E3FEA6">
            <w:pPr>
              <w:pStyle w:val="9"/>
              <w:keepNext w:val="0"/>
              <w:keepLines w:val="0"/>
              <w:widowControl/>
              <w:suppressLineNumbers w:val="0"/>
              <w:rPr>
                <w:sz w:val="21"/>
                <w:szCs w:val="21"/>
              </w:rPr>
            </w:pPr>
            <w:r>
              <w:rPr>
                <w:b/>
                <w:bCs/>
                <w:color w:val="000000"/>
                <w:sz w:val="21"/>
                <w:szCs w:val="21"/>
              </w:rPr>
              <w:t>Sch-S</w:t>
            </w:r>
          </w:p>
        </w:tc>
        <w:tc>
          <w:tcPr>
            <w:tcW w:w="2883"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11D83DB2">
            <w:pPr>
              <w:pStyle w:val="9"/>
              <w:keepNext w:val="0"/>
              <w:keepLines w:val="0"/>
              <w:widowControl/>
              <w:suppressLineNumbers w:val="0"/>
              <w:rPr>
                <w:sz w:val="21"/>
                <w:szCs w:val="21"/>
              </w:rPr>
            </w:pPr>
            <w:r>
              <w:rPr>
                <w:b/>
                <w:bCs/>
                <w:color w:val="000000"/>
                <w:sz w:val="21"/>
                <w:szCs w:val="21"/>
              </w:rPr>
              <w:t>Schema stability</w:t>
            </w:r>
          </w:p>
        </w:tc>
        <w:tc>
          <w:tcPr>
            <w:tcW w:w="6988"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47BD5361">
            <w:pPr>
              <w:pStyle w:val="9"/>
              <w:keepNext w:val="0"/>
              <w:keepLines w:val="0"/>
              <w:widowControl/>
              <w:suppressLineNumbers w:val="0"/>
              <w:rPr>
                <w:sz w:val="21"/>
                <w:szCs w:val="21"/>
              </w:rPr>
            </w:pPr>
            <w:r>
              <w:rPr>
                <w:color w:val="000000"/>
                <w:sz w:val="21"/>
                <w:szCs w:val="21"/>
              </w:rPr>
              <w:t>表示一个使用该表的查询正在被编译</w:t>
            </w:r>
          </w:p>
        </w:tc>
      </w:tr>
      <w:tr w14:paraId="38E5A05F">
        <w:tblPrEx>
          <w:tblCellMar>
            <w:top w:w="0" w:type="dxa"/>
            <w:left w:w="0" w:type="dxa"/>
            <w:bottom w:w="0" w:type="dxa"/>
            <w:right w:w="0" w:type="dxa"/>
          </w:tblCellMar>
        </w:tblPrEx>
        <w:trPr>
          <w:trHeight w:val="397" w:hRule="atLeast"/>
          <w:tblCellSpacing w:w="0" w:type="dxa"/>
        </w:trPr>
        <w:tc>
          <w:tcPr>
            <w:tcW w:w="976"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46228A3D">
            <w:pPr>
              <w:pStyle w:val="9"/>
              <w:keepNext w:val="0"/>
              <w:keepLines w:val="0"/>
              <w:widowControl/>
              <w:suppressLineNumbers w:val="0"/>
              <w:rPr>
                <w:sz w:val="21"/>
                <w:szCs w:val="21"/>
              </w:rPr>
            </w:pPr>
            <w:r>
              <w:rPr>
                <w:b/>
                <w:bCs/>
                <w:color w:val="000000"/>
                <w:sz w:val="21"/>
                <w:szCs w:val="21"/>
              </w:rPr>
              <w:t>Sch-M</w:t>
            </w:r>
          </w:p>
        </w:tc>
        <w:tc>
          <w:tcPr>
            <w:tcW w:w="2883"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782E8D91">
            <w:pPr>
              <w:pStyle w:val="9"/>
              <w:keepNext w:val="0"/>
              <w:keepLines w:val="0"/>
              <w:widowControl/>
              <w:suppressLineNumbers w:val="0"/>
              <w:rPr>
                <w:sz w:val="21"/>
                <w:szCs w:val="21"/>
              </w:rPr>
            </w:pPr>
            <w:r>
              <w:rPr>
                <w:b/>
                <w:bCs/>
                <w:color w:val="000000"/>
                <w:sz w:val="21"/>
                <w:szCs w:val="21"/>
              </w:rPr>
              <w:t>Schema modification</w:t>
            </w:r>
          </w:p>
        </w:tc>
        <w:tc>
          <w:tcPr>
            <w:tcW w:w="6988" w:type="dxa"/>
            <w:tcBorders>
              <w:top w:val="single" w:color="000000" w:sz="2" w:space="0"/>
              <w:left w:val="single" w:color="000000" w:sz="2" w:space="0"/>
              <w:bottom w:val="single" w:color="000000" w:sz="2" w:space="0"/>
              <w:right w:val="single" w:color="000000" w:sz="2" w:space="0"/>
            </w:tcBorders>
            <w:shd w:val="clear" w:color="auto" w:fill="D0D8E8"/>
            <w:noWrap w:val="0"/>
            <w:tcMar>
              <w:top w:w="72" w:type="dxa"/>
              <w:left w:w="144" w:type="dxa"/>
              <w:bottom w:w="72" w:type="dxa"/>
              <w:right w:w="144" w:type="dxa"/>
            </w:tcMar>
            <w:vAlign w:val="top"/>
          </w:tcPr>
          <w:p w14:paraId="410E6A18">
            <w:pPr>
              <w:pStyle w:val="9"/>
              <w:keepNext w:val="0"/>
              <w:keepLines w:val="0"/>
              <w:widowControl/>
              <w:suppressLineNumbers w:val="0"/>
              <w:rPr>
                <w:sz w:val="21"/>
                <w:szCs w:val="21"/>
              </w:rPr>
            </w:pPr>
            <w:r>
              <w:rPr>
                <w:color w:val="000000"/>
                <w:sz w:val="21"/>
                <w:szCs w:val="21"/>
              </w:rPr>
              <w:t>表示表的结构正在被修改</w:t>
            </w:r>
          </w:p>
        </w:tc>
      </w:tr>
      <w:tr w14:paraId="086B8ABB">
        <w:tblPrEx>
          <w:tblCellMar>
            <w:top w:w="0" w:type="dxa"/>
            <w:left w:w="0" w:type="dxa"/>
            <w:bottom w:w="0" w:type="dxa"/>
            <w:right w:w="0" w:type="dxa"/>
          </w:tblCellMar>
        </w:tblPrEx>
        <w:trPr>
          <w:trHeight w:val="397" w:hRule="atLeast"/>
          <w:tblCellSpacing w:w="0" w:type="dxa"/>
        </w:trPr>
        <w:tc>
          <w:tcPr>
            <w:tcW w:w="976"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5A27BC36">
            <w:pPr>
              <w:pStyle w:val="9"/>
              <w:keepNext w:val="0"/>
              <w:keepLines w:val="0"/>
              <w:widowControl/>
              <w:suppressLineNumbers w:val="0"/>
              <w:rPr>
                <w:sz w:val="21"/>
                <w:szCs w:val="21"/>
              </w:rPr>
            </w:pPr>
            <w:r>
              <w:rPr>
                <w:b/>
                <w:bCs/>
                <w:color w:val="000000"/>
                <w:sz w:val="21"/>
                <w:szCs w:val="21"/>
              </w:rPr>
              <w:t>BU</w:t>
            </w:r>
          </w:p>
        </w:tc>
        <w:tc>
          <w:tcPr>
            <w:tcW w:w="2883"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703B330E">
            <w:pPr>
              <w:pStyle w:val="9"/>
              <w:keepNext w:val="0"/>
              <w:keepLines w:val="0"/>
              <w:widowControl/>
              <w:suppressLineNumbers w:val="0"/>
              <w:rPr>
                <w:sz w:val="21"/>
                <w:szCs w:val="21"/>
              </w:rPr>
            </w:pPr>
            <w:r>
              <w:rPr>
                <w:b/>
                <w:bCs/>
                <w:color w:val="000000"/>
                <w:sz w:val="21"/>
                <w:szCs w:val="21"/>
              </w:rPr>
              <w:t>Bulk Update</w:t>
            </w:r>
          </w:p>
        </w:tc>
        <w:tc>
          <w:tcPr>
            <w:tcW w:w="6988" w:type="dxa"/>
            <w:tcBorders>
              <w:top w:val="single" w:color="000000" w:sz="2" w:space="0"/>
              <w:left w:val="single" w:color="000000" w:sz="2" w:space="0"/>
              <w:bottom w:val="single" w:color="000000" w:sz="2" w:space="0"/>
              <w:right w:val="single" w:color="000000" w:sz="2" w:space="0"/>
            </w:tcBorders>
            <w:shd w:val="clear" w:color="auto" w:fill="E9EDF4"/>
            <w:noWrap w:val="0"/>
            <w:tcMar>
              <w:top w:w="72" w:type="dxa"/>
              <w:left w:w="144" w:type="dxa"/>
              <w:bottom w:w="72" w:type="dxa"/>
              <w:right w:w="144" w:type="dxa"/>
            </w:tcMar>
            <w:vAlign w:val="top"/>
          </w:tcPr>
          <w:p w14:paraId="23D229D6">
            <w:pPr>
              <w:pStyle w:val="9"/>
              <w:keepNext w:val="0"/>
              <w:keepLines w:val="0"/>
              <w:widowControl/>
              <w:suppressLineNumbers w:val="0"/>
              <w:rPr>
                <w:sz w:val="21"/>
                <w:szCs w:val="21"/>
              </w:rPr>
            </w:pPr>
            <w:r>
              <w:rPr>
                <w:color w:val="000000"/>
                <w:sz w:val="21"/>
                <w:szCs w:val="21"/>
              </w:rPr>
              <w:t>在一个大容量复制操作将数据导入表中并且应用了TABLOCK查询提示时使用</w:t>
            </w:r>
          </w:p>
        </w:tc>
      </w:tr>
    </w:tbl>
    <w:p w14:paraId="257913CD">
      <w:pPr>
        <w:spacing w:line="360" w:lineRule="auto"/>
        <w:ind w:firstLine="420"/>
        <w:rPr>
          <w:rFonts w:hint="default" w:ascii="Arial" w:hAnsi="Arial" w:eastAsia="宋体" w:cs="Arial"/>
          <w:kern w:val="0"/>
          <w:sz w:val="24"/>
          <w:szCs w:val="24"/>
          <w:lang w:val="en-US" w:eastAsia="zh-CN"/>
        </w:rPr>
      </w:pPr>
    </w:p>
    <w:p w14:paraId="539D41FC">
      <w:pPr>
        <w:spacing w:line="360" w:lineRule="auto"/>
        <w:ind w:firstLine="420"/>
        <w:rPr>
          <w:rFonts w:hint="default" w:ascii="Arial" w:hAnsi="Arial" w:eastAsia="宋体" w:cs="Arial"/>
          <w:kern w:val="0"/>
          <w:sz w:val="24"/>
          <w:szCs w:val="24"/>
          <w:lang w:val="en-US" w:eastAsia="zh-CN"/>
        </w:rPr>
      </w:pPr>
    </w:p>
    <w:p w14:paraId="003F7224">
      <w:pPr>
        <w:spacing w:line="360" w:lineRule="auto"/>
        <w:rPr>
          <w:rFonts w:hint="eastAsia" w:ascii="宋体" w:hAnsi="Times New Roman" w:eastAsia="宋体" w:cs="宋体"/>
          <w:b/>
          <w:kern w:val="0"/>
          <w:sz w:val="28"/>
          <w:szCs w:val="28"/>
        </w:rPr>
      </w:pPr>
    </w:p>
    <w:p w14:paraId="1CD8C49F">
      <w:pPr>
        <w:spacing w:line="360" w:lineRule="auto"/>
        <w:rPr>
          <w:rFonts w:hint="eastAsia" w:ascii="Arial" w:hAnsi="Arial" w:cs="Arial"/>
          <w:kern w:val="0"/>
          <w:sz w:val="24"/>
        </w:rPr>
      </w:pPr>
      <w:r>
        <w:rPr>
          <w:rFonts w:hint="eastAsia" w:ascii="宋体" w:hAnsi="Times New Roman" w:eastAsia="宋体" w:cs="宋体"/>
          <w:b/>
          <w:kern w:val="0"/>
          <w:sz w:val="28"/>
          <w:szCs w:val="28"/>
        </w:rPr>
        <w:t>【</w:t>
      </w:r>
      <w:r>
        <w:rPr>
          <w:rFonts w:hint="eastAsia" w:ascii="宋体" w:cs="宋体"/>
          <w:b/>
          <w:kern w:val="0"/>
          <w:sz w:val="28"/>
          <w:szCs w:val="28"/>
        </w:rPr>
        <w:t>实验</w:t>
      </w:r>
      <w:r>
        <w:rPr>
          <w:rFonts w:hint="eastAsia" w:ascii="宋体" w:cs="宋体"/>
          <w:b/>
          <w:kern w:val="0"/>
          <w:sz w:val="28"/>
          <w:szCs w:val="28"/>
          <w:lang w:val="en-US" w:eastAsia="zh-CN"/>
        </w:rPr>
        <w:t>内容</w:t>
      </w:r>
      <w:r>
        <w:rPr>
          <w:rFonts w:hint="eastAsia" w:ascii="宋体" w:hAnsi="Times New Roman" w:eastAsia="宋体" w:cs="宋体"/>
          <w:b/>
          <w:kern w:val="0"/>
          <w:sz w:val="28"/>
          <w:szCs w:val="28"/>
        </w:rPr>
        <w:t>】</w:t>
      </w:r>
    </w:p>
    <w:p w14:paraId="04B7FC1C">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1、参考下列例题，在高级语言中设计嵌入SQL两个事务，实现两个事务并发访问数据库中相同的资源，记录事务并发执行的结果。</w:t>
      </w:r>
    </w:p>
    <w:p w14:paraId="3D9BBF23">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（1）微软sql server示例</w:t>
      </w:r>
    </w:p>
    <w:p w14:paraId="59DC9C69">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USE </w:t>
      </w:r>
      <w:r>
        <w:rPr>
          <w:rFonts w:hint="eastAsia" w:ascii="Arial" w:hAnsi="Arial" w:eastAsia="宋体" w:cs="Arial"/>
          <w:kern w:val="0"/>
          <w:sz w:val="24"/>
          <w:szCs w:val="24"/>
          <w:lang w:val="en-US" w:eastAsia="zh-CN"/>
        </w:rPr>
        <w:t>mydb</w:t>
      </w:r>
    </w:p>
    <w:p w14:paraId="520F30D7">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BEGIN TRANSACTION T</w:t>
      </w:r>
      <w:r>
        <w:rPr>
          <w:rFonts w:hint="eastAsia" w:ascii="Arial" w:hAnsi="Arial" w:eastAsia="宋体" w:cs="Arial"/>
          <w:kern w:val="0"/>
          <w:sz w:val="24"/>
          <w:szCs w:val="24"/>
          <w:lang w:val="en-US" w:eastAsia="zh-CN"/>
        </w:rPr>
        <w:t>1</w:t>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 事务1</w:t>
      </w:r>
    </w:p>
    <w:p w14:paraId="48D8F6C7">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update c</w:t>
      </w:r>
    </w:p>
    <w:p w14:paraId="6DA66FA0">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 xml:space="preserve">set classtime = classtime </w:t>
      </w:r>
      <w:r>
        <w:rPr>
          <w:rFonts w:hint="eastAsia" w:ascii="Arial" w:hAnsi="Arial" w:eastAsia="宋体" w:cs="Arial"/>
          <w:kern w:val="0"/>
          <w:sz w:val="24"/>
          <w:szCs w:val="24"/>
          <w:lang w:val="en-US" w:eastAsia="zh-CN"/>
        </w:rPr>
        <w:t>- 5</w:t>
      </w:r>
    </w:p>
    <w:p w14:paraId="75F1AF02">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where cno='001';</w:t>
      </w:r>
    </w:p>
    <w:p w14:paraId="30758B2E">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WAITFOR delay '00:00:30'        --等待30秒</w:t>
      </w:r>
    </w:p>
    <w:p w14:paraId="20F005AB">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COMMIT TRANSACTION T1</w:t>
      </w:r>
    </w:p>
    <w:p w14:paraId="38699867">
      <w:pPr>
        <w:spacing w:line="360" w:lineRule="auto"/>
        <w:ind w:firstLine="420"/>
        <w:rPr>
          <w:rFonts w:hint="default" w:ascii="Arial" w:hAnsi="Arial" w:eastAsia="宋体" w:cs="Arial"/>
          <w:kern w:val="0"/>
          <w:sz w:val="24"/>
          <w:szCs w:val="24"/>
          <w:lang w:val="en-US" w:eastAsia="zh-CN"/>
        </w:rPr>
      </w:pPr>
    </w:p>
    <w:p w14:paraId="3152283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use mydb;</w:t>
      </w:r>
    </w:p>
    <w:p w14:paraId="65B9EBC7">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BEGIN TRANSACTION T2</w:t>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 事务2</w:t>
      </w:r>
    </w:p>
    <w:p w14:paraId="2B176BAA">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select * from c;</w:t>
      </w:r>
    </w:p>
    <w:p w14:paraId="3052643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COMMIT TRANSACTION T2</w:t>
      </w:r>
    </w:p>
    <w:p w14:paraId="018C4959">
      <w:pPr>
        <w:spacing w:line="360" w:lineRule="auto"/>
        <w:ind w:firstLine="420"/>
        <w:rPr>
          <w:rFonts w:hint="eastAsia" w:ascii="Arial" w:hAnsi="Arial" w:eastAsia="宋体" w:cs="Arial"/>
          <w:kern w:val="0"/>
          <w:sz w:val="24"/>
          <w:szCs w:val="24"/>
          <w:lang w:val="en-US" w:eastAsia="zh-CN"/>
        </w:rPr>
      </w:pPr>
    </w:p>
    <w:p w14:paraId="37CBCDB1">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（2）mysql示例</w:t>
      </w:r>
    </w:p>
    <w:p w14:paraId="0F949508">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use mydb;</w:t>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 事务1</w:t>
      </w:r>
    </w:p>
    <w:p w14:paraId="1DBAC452">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/*set autocommit=0;*/</w:t>
      </w:r>
    </w:p>
    <w:p w14:paraId="1C105652">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begin;</w:t>
      </w:r>
    </w:p>
    <w:p w14:paraId="3518A9AA">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update c</w:t>
      </w:r>
    </w:p>
    <w:p w14:paraId="12CF1753">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set classtime = classtime + 1</w:t>
      </w:r>
    </w:p>
    <w:p w14:paraId="171B9CC2">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where cno='001';</w:t>
      </w:r>
    </w:p>
    <w:p w14:paraId="4ADC96AA">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select sleep(10);</w:t>
      </w:r>
    </w:p>
    <w:p w14:paraId="2C508F41">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commit;</w:t>
      </w:r>
    </w:p>
    <w:p w14:paraId="2672894C">
      <w:pPr>
        <w:spacing w:line="360" w:lineRule="auto"/>
        <w:ind w:firstLine="420"/>
        <w:rPr>
          <w:rFonts w:hint="eastAsia" w:ascii="Arial" w:hAnsi="Arial" w:eastAsia="宋体" w:cs="Arial"/>
          <w:kern w:val="0"/>
          <w:sz w:val="24"/>
          <w:szCs w:val="24"/>
          <w:lang w:val="en-US" w:eastAsia="zh-CN"/>
        </w:rPr>
      </w:pPr>
    </w:p>
    <w:p w14:paraId="2725CD80">
      <w:pPr>
        <w:spacing w:line="360" w:lineRule="auto"/>
        <w:ind w:firstLine="420"/>
        <w:rPr>
          <w:rFonts w:hint="eastAsia" w:ascii="Arial" w:hAnsi="Arial" w:eastAsia="宋体" w:cs="Arial"/>
          <w:kern w:val="0"/>
          <w:sz w:val="24"/>
          <w:szCs w:val="24"/>
          <w:lang w:val="en-US" w:eastAsia="zh-CN"/>
        </w:rPr>
      </w:pPr>
    </w:p>
    <w:p w14:paraId="7520B888">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use mydb;</w:t>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 事务2</w:t>
      </w:r>
    </w:p>
    <w:p w14:paraId="05FC29A0">
      <w:pPr>
        <w:spacing w:line="360" w:lineRule="auto"/>
        <w:ind w:firstLine="420"/>
        <w:rPr>
          <w:rFonts w:hint="eastAsia" w:ascii="Arial" w:hAnsi="Arial" w:eastAsia="宋体" w:cs="Arial"/>
          <w:kern w:val="0"/>
          <w:sz w:val="24"/>
          <w:szCs w:val="24"/>
          <w:lang w:val="en-US" w:eastAsia="zh-CN"/>
        </w:rPr>
      </w:pPr>
      <w:r>
        <w:rPr>
          <w:rFonts w:hint="default" w:ascii="Arial" w:hAnsi="Arial" w:eastAsia="宋体" w:cs="Arial"/>
          <w:kern w:val="0"/>
          <w:sz w:val="24"/>
          <w:szCs w:val="24"/>
          <w:lang w:val="en-US" w:eastAsia="zh-CN"/>
        </w:rPr>
        <w:t>begin;</w:t>
      </w:r>
    </w:p>
    <w:p w14:paraId="4871B825">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select * from c;</w:t>
      </w:r>
    </w:p>
    <w:p w14:paraId="69D1ACB6">
      <w:pPr>
        <w:spacing w:line="360" w:lineRule="auto"/>
        <w:ind w:firstLine="420"/>
        <w:rPr>
          <w:rFonts w:hint="default" w:ascii="Arial" w:hAnsi="Arial" w:eastAsia="宋体" w:cs="Arial"/>
          <w:kern w:val="0"/>
          <w:sz w:val="24"/>
          <w:szCs w:val="24"/>
          <w:lang w:val="en-US" w:eastAsia="zh-CN"/>
        </w:rPr>
      </w:pPr>
      <w:r>
        <w:rPr>
          <w:rFonts w:hint="default" w:ascii="Arial" w:hAnsi="Arial" w:eastAsia="宋体" w:cs="Arial"/>
          <w:kern w:val="0"/>
          <w:sz w:val="24"/>
          <w:szCs w:val="24"/>
          <w:lang w:val="en-US" w:eastAsia="zh-CN"/>
        </w:rPr>
        <w:t>commit;</w:t>
      </w:r>
    </w:p>
    <w:p w14:paraId="3C31D7B4">
      <w:pPr>
        <w:spacing w:line="360" w:lineRule="auto"/>
        <w:ind w:firstLine="420"/>
        <w:rPr>
          <w:rFonts w:hint="default" w:ascii="Arial" w:hAnsi="Arial" w:eastAsia="宋体" w:cs="Arial"/>
          <w:kern w:val="0"/>
          <w:sz w:val="24"/>
          <w:szCs w:val="24"/>
          <w:lang w:val="en-US" w:eastAsia="zh-CN"/>
        </w:rPr>
      </w:pPr>
    </w:p>
    <w:p w14:paraId="0CC64887">
      <w:pPr>
        <w:spacing w:line="360" w:lineRule="auto"/>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2、参考下列例题，使用每个同学自己设计的数据库，设计并发事务，实现对同一个数据库中数据项的存取操作。</w:t>
      </w:r>
    </w:p>
    <w:p w14:paraId="346926A0">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ab/>
      </w:r>
      <w:r>
        <w:rPr>
          <w:rFonts w:hint="eastAsia" w:ascii="Arial" w:hAnsi="Arial" w:eastAsia="宋体" w:cs="Arial"/>
          <w:kern w:val="0"/>
          <w:sz w:val="24"/>
          <w:szCs w:val="24"/>
          <w:lang w:val="en-US" w:eastAsia="zh-CN"/>
        </w:rPr>
        <w:t>设银行数据库中有一转账事务tran_bank，从账号A转一笔款子（¥10000）到账号B，其操作如下：</w:t>
      </w:r>
    </w:p>
    <w:p w14:paraId="4E003AF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BEGIN TRANSACTION tran_bank; </w:t>
      </w:r>
    </w:p>
    <w:p w14:paraId="39C2E4A2">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read（A）；</w:t>
      </w:r>
    </w:p>
    <w:p w14:paraId="6B57531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A:＝A-10000；</w:t>
      </w:r>
    </w:p>
    <w:p w14:paraId="0F368DD3">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write（A）；</w:t>
      </w:r>
    </w:p>
    <w:p w14:paraId="53403DF1">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IF (A&lt;0) THEN {  ROLLBACK TRANSACTION}</w:t>
      </w:r>
    </w:p>
    <w:p w14:paraId="40C0581B">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ELSE  { read（B）；</w:t>
      </w:r>
    </w:p>
    <w:p w14:paraId="2ED916E6">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B:＝ B＋10000；</w:t>
      </w:r>
    </w:p>
    <w:p w14:paraId="37C4C724">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write（B）; </w:t>
      </w:r>
    </w:p>
    <w:p w14:paraId="1F998690">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COMMIT TRANSACTION tran_bank; }</w:t>
      </w:r>
    </w:p>
    <w:p w14:paraId="51B88AAD">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 xml:space="preserve">       ENDIF;</w:t>
      </w:r>
    </w:p>
    <w:p w14:paraId="761457CD">
      <w:pPr>
        <w:tabs>
          <w:tab w:val="left" w:pos="763"/>
        </w:tabs>
        <w:spacing w:line="360" w:lineRule="auto"/>
        <w:rPr>
          <w:rFonts w:hint="eastAsia" w:ascii="Arial" w:hAnsi="Arial" w:eastAsia="宋体" w:cs="Arial"/>
          <w:kern w:val="0"/>
          <w:sz w:val="24"/>
          <w:szCs w:val="24"/>
          <w:lang w:val="en-US" w:eastAsia="zh-CN"/>
        </w:rPr>
      </w:pPr>
    </w:p>
    <w:p w14:paraId="4C8B800B">
      <w:pPr>
        <w:spacing w:line="360" w:lineRule="auto"/>
        <w:rPr>
          <w:rFonts w:hint="eastAsia" w:ascii="宋体" w:hAnsi="Times New Roman" w:eastAsia="宋体" w:cs="宋体"/>
          <w:b/>
          <w:kern w:val="0"/>
          <w:sz w:val="28"/>
          <w:szCs w:val="28"/>
        </w:rPr>
      </w:pPr>
    </w:p>
    <w:p w14:paraId="5B50C394">
      <w:pPr>
        <w:spacing w:line="360" w:lineRule="auto"/>
        <w:rPr>
          <w:rFonts w:hint="eastAsia" w:ascii="宋体" w:hAnsi="Times New Roman" w:eastAsia="宋体" w:cs="宋体"/>
          <w:b/>
          <w:kern w:val="0"/>
          <w:sz w:val="28"/>
          <w:szCs w:val="28"/>
        </w:rPr>
      </w:pPr>
      <w:r>
        <w:rPr>
          <w:rFonts w:hint="eastAsia" w:ascii="宋体" w:hAnsi="Times New Roman" w:eastAsia="宋体" w:cs="宋体"/>
          <w:b/>
          <w:kern w:val="0"/>
          <w:sz w:val="28"/>
          <w:szCs w:val="28"/>
        </w:rPr>
        <w:t>【</w:t>
      </w:r>
      <w:r>
        <w:rPr>
          <w:rFonts w:hint="eastAsia" w:ascii="宋体" w:hAnsi="Times New Roman" w:eastAsia="宋体" w:cs="宋体"/>
          <w:b/>
          <w:kern w:val="0"/>
          <w:sz w:val="28"/>
          <w:szCs w:val="28"/>
          <w:lang w:val="en-US" w:eastAsia="zh-CN"/>
        </w:rPr>
        <w:t>实验报告要求</w:t>
      </w:r>
      <w:r>
        <w:rPr>
          <w:rFonts w:hint="eastAsia" w:ascii="宋体" w:hAnsi="Times New Roman" w:eastAsia="宋体" w:cs="宋体"/>
          <w:b/>
          <w:kern w:val="0"/>
          <w:sz w:val="28"/>
          <w:szCs w:val="28"/>
        </w:rPr>
        <w:t>】</w:t>
      </w:r>
    </w:p>
    <w:p w14:paraId="6A7004C9">
      <w:pPr>
        <w:spacing w:line="360" w:lineRule="auto"/>
        <w:ind w:firstLine="420"/>
        <w:rPr>
          <w:rFonts w:hint="eastAsia" w:ascii="Arial" w:hAnsi="Arial" w:eastAsia="宋体" w:cs="Arial"/>
          <w:kern w:val="0"/>
          <w:sz w:val="24"/>
          <w:szCs w:val="24"/>
          <w:lang w:val="en-US" w:eastAsia="zh-CN"/>
        </w:rPr>
      </w:pPr>
      <w:r>
        <w:rPr>
          <w:rFonts w:hint="eastAsia" w:ascii="Arial" w:hAnsi="Arial" w:eastAsia="宋体" w:cs="Arial"/>
          <w:kern w:val="0"/>
          <w:sz w:val="24"/>
          <w:szCs w:val="24"/>
          <w:lang w:val="en-US" w:eastAsia="zh-CN"/>
        </w:rPr>
        <w:t>1、实现实验内容，分析事务并发的三种异常现象。</w:t>
      </w:r>
    </w:p>
    <w:p w14:paraId="54B2B7B6">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2、记录实验过程、实验结果。</w:t>
      </w:r>
    </w:p>
    <w:p w14:paraId="0BF90BC3">
      <w:pPr>
        <w:spacing w:line="360" w:lineRule="auto"/>
        <w:ind w:firstLine="420"/>
        <w:rPr>
          <w:rFonts w:hint="default" w:ascii="Arial" w:hAnsi="Arial" w:eastAsia="宋体" w:cs="Arial"/>
          <w:kern w:val="0"/>
          <w:sz w:val="24"/>
          <w:szCs w:val="24"/>
          <w:lang w:val="en-US" w:eastAsia="zh-CN"/>
        </w:rPr>
      </w:pPr>
      <w:r>
        <w:rPr>
          <w:rFonts w:hint="eastAsia" w:ascii="Arial" w:hAnsi="Arial" w:eastAsia="宋体" w:cs="Arial"/>
          <w:kern w:val="0"/>
          <w:sz w:val="24"/>
          <w:szCs w:val="24"/>
          <w:lang w:val="en-US" w:eastAsia="zh-CN"/>
        </w:rPr>
        <w:t>3、撰写电子文档的实验报告。</w:t>
      </w:r>
    </w:p>
    <w:p w14:paraId="17F47F53">
      <w:pPr>
        <w:rPr>
          <w:rFonts w:hint="eastAsia" w:eastAsia="宋体" w:cs="Times New Roman"/>
          <w:sz w:val="28"/>
          <w:szCs w:val="28"/>
        </w:rPr>
      </w:pPr>
    </w:p>
    <w:p w14:paraId="48AA38FC">
      <w:pPr>
        <w:spacing w:line="360" w:lineRule="auto"/>
        <w:ind w:firstLine="420"/>
        <w:rPr>
          <w:rFonts w:hint="eastAsia" w:ascii="Arial" w:hAnsi="Arial" w:eastAsia="宋体" w:cs="Arial"/>
          <w:kern w:val="0"/>
          <w:sz w:val="24"/>
          <w:szCs w:val="24"/>
          <w:lang w:val="en-US" w:eastAsia="zh-CN"/>
        </w:rPr>
      </w:pPr>
    </w:p>
    <w:p w14:paraId="42117479">
      <w:pPr>
        <w:spacing w:line="360" w:lineRule="auto"/>
        <w:ind w:firstLine="420"/>
        <w:rPr>
          <w:rFonts w:hint="default" w:ascii="Arial" w:hAnsi="Arial" w:eastAsia="宋体" w:cs="Arial"/>
          <w:kern w:val="0"/>
          <w:sz w:val="24"/>
          <w:szCs w:val="24"/>
          <w:lang w:val="en-US" w:eastAsia="zh-CN"/>
        </w:rPr>
      </w:pPr>
    </w:p>
    <w:p w14:paraId="44DA9298">
      <w:pPr>
        <w:spacing w:line="360" w:lineRule="auto"/>
        <w:ind w:firstLine="420"/>
        <w:rPr>
          <w:rFonts w:hint="default" w:ascii="Arial" w:hAnsi="Arial" w:eastAsia="宋体" w:cs="Arial"/>
          <w:kern w:val="0"/>
          <w:sz w:val="24"/>
          <w:szCs w:val="24"/>
          <w:lang w:val="en-US" w:eastAsia="zh-CN"/>
        </w:rPr>
      </w:pPr>
    </w:p>
    <w:p w14:paraId="027907CE">
      <w:pPr>
        <w:spacing w:line="360" w:lineRule="auto"/>
        <w:ind w:firstLine="420"/>
        <w:rPr>
          <w:rFonts w:hint="eastAsia" w:ascii="Arial" w:hAnsi="Arial" w:cs="Arial"/>
          <w:kern w:val="0"/>
          <w:szCs w:val="21"/>
        </w:rPr>
      </w:pPr>
    </w:p>
    <w:sectPr>
      <w:pgSz w:w="11907" w:h="16840"/>
      <w:pgMar w:top="1440" w:right="1797" w:bottom="1440" w:left="1797" w:header="720" w:footer="720" w:gutter="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4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6D8A"/>
    <w:rsid w:val="000A2194"/>
    <w:rsid w:val="000B02C2"/>
    <w:rsid w:val="000D1E74"/>
    <w:rsid w:val="000F452B"/>
    <w:rsid w:val="00197986"/>
    <w:rsid w:val="001A051D"/>
    <w:rsid w:val="0031212B"/>
    <w:rsid w:val="003C7C0F"/>
    <w:rsid w:val="004615C1"/>
    <w:rsid w:val="00473EE7"/>
    <w:rsid w:val="005C0545"/>
    <w:rsid w:val="0062794A"/>
    <w:rsid w:val="0067717D"/>
    <w:rsid w:val="006A36C7"/>
    <w:rsid w:val="006D5727"/>
    <w:rsid w:val="007129A7"/>
    <w:rsid w:val="007B4EED"/>
    <w:rsid w:val="007F6D8A"/>
    <w:rsid w:val="009032F1"/>
    <w:rsid w:val="009160D6"/>
    <w:rsid w:val="00980897"/>
    <w:rsid w:val="009B7DEB"/>
    <w:rsid w:val="009D44F0"/>
    <w:rsid w:val="00A1412C"/>
    <w:rsid w:val="00A230C0"/>
    <w:rsid w:val="00A37BA2"/>
    <w:rsid w:val="00A62578"/>
    <w:rsid w:val="00A911A7"/>
    <w:rsid w:val="00AF7FD1"/>
    <w:rsid w:val="00BA6762"/>
    <w:rsid w:val="00BD6A6B"/>
    <w:rsid w:val="00BF2CD3"/>
    <w:rsid w:val="00C01EF4"/>
    <w:rsid w:val="00C16224"/>
    <w:rsid w:val="00CF0136"/>
    <w:rsid w:val="00CF4980"/>
    <w:rsid w:val="00D45A55"/>
    <w:rsid w:val="00D7339B"/>
    <w:rsid w:val="00DF37A1"/>
    <w:rsid w:val="00EF2D2B"/>
    <w:rsid w:val="00F13621"/>
    <w:rsid w:val="00F65348"/>
    <w:rsid w:val="022E2F4B"/>
    <w:rsid w:val="04BD0639"/>
    <w:rsid w:val="05975917"/>
    <w:rsid w:val="05C137B7"/>
    <w:rsid w:val="05C80C0A"/>
    <w:rsid w:val="07521444"/>
    <w:rsid w:val="09C81D51"/>
    <w:rsid w:val="0C214BE8"/>
    <w:rsid w:val="0C2F4A91"/>
    <w:rsid w:val="0C3538A2"/>
    <w:rsid w:val="0D8F2D0F"/>
    <w:rsid w:val="0E233442"/>
    <w:rsid w:val="112E59CF"/>
    <w:rsid w:val="147D3CFB"/>
    <w:rsid w:val="175D77A4"/>
    <w:rsid w:val="17881D4E"/>
    <w:rsid w:val="1B8C353F"/>
    <w:rsid w:val="1F456EFC"/>
    <w:rsid w:val="203F00EC"/>
    <w:rsid w:val="23950490"/>
    <w:rsid w:val="240A7FB9"/>
    <w:rsid w:val="24101808"/>
    <w:rsid w:val="268F05D6"/>
    <w:rsid w:val="283634D7"/>
    <w:rsid w:val="289D4284"/>
    <w:rsid w:val="28AE0FC1"/>
    <w:rsid w:val="2D737C2B"/>
    <w:rsid w:val="2E0351A0"/>
    <w:rsid w:val="2F700FB7"/>
    <w:rsid w:val="376327A9"/>
    <w:rsid w:val="38B30FED"/>
    <w:rsid w:val="39F836CA"/>
    <w:rsid w:val="3BB42A99"/>
    <w:rsid w:val="3DFC020F"/>
    <w:rsid w:val="44AF4818"/>
    <w:rsid w:val="4F151551"/>
    <w:rsid w:val="539841D9"/>
    <w:rsid w:val="5A3544AA"/>
    <w:rsid w:val="5C851677"/>
    <w:rsid w:val="5C8D74F3"/>
    <w:rsid w:val="62FC4BD8"/>
    <w:rsid w:val="63E92A8C"/>
    <w:rsid w:val="6785170C"/>
    <w:rsid w:val="68DB60FE"/>
    <w:rsid w:val="6B0D23D1"/>
    <w:rsid w:val="6CA33897"/>
    <w:rsid w:val="718D5EA1"/>
    <w:rsid w:val="727D1174"/>
    <w:rsid w:val="732658A5"/>
    <w:rsid w:val="75672068"/>
    <w:rsid w:val="75FE6D74"/>
    <w:rsid w:val="77D8430A"/>
    <w:rsid w:val="7882281C"/>
    <w:rsid w:val="7AF75174"/>
    <w:rsid w:val="7D32308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9"/>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9"/>
    <w:pPr>
      <w:spacing w:before="100" w:beforeAutospacing="1" w:after="100" w:afterAutospacing="1"/>
      <w:jc w:val="left"/>
      <w:outlineLvl w:val="1"/>
    </w:pPr>
    <w:rPr>
      <w:rFonts w:hint="eastAsia" w:ascii="宋体" w:hAnsi="宋体" w:eastAsia="宋体" w:cs="宋体"/>
      <w:b/>
      <w:kern w:val="0"/>
      <w:sz w:val="36"/>
      <w:szCs w:val="36"/>
      <w:lang w:val="en-US" w:eastAsia="zh-CN" w:bidi="ar"/>
    </w:rPr>
  </w:style>
  <w:style w:type="paragraph" w:styleId="4">
    <w:name w:val="heading 3"/>
    <w:basedOn w:val="1"/>
    <w:next w:val="1"/>
    <w:qFormat/>
    <w:uiPriority w:val="9"/>
    <w:pPr>
      <w:spacing w:before="100" w:beforeAutospacing="1" w:after="100" w:afterAutospacing="1"/>
      <w:jc w:val="left"/>
      <w:outlineLvl w:val="2"/>
    </w:pPr>
    <w:rPr>
      <w:rFonts w:hint="eastAsia" w:ascii="宋体" w:hAnsi="宋体" w:eastAsia="宋体" w:cs="宋体"/>
      <w:b/>
      <w:kern w:val="0"/>
      <w:sz w:val="27"/>
      <w:szCs w:val="27"/>
      <w:lang w:val="en-US" w:eastAsia="zh-CN" w:bidi="ar"/>
    </w:rPr>
  </w:style>
  <w:style w:type="character" w:default="1" w:styleId="12">
    <w:name w:val="Default Paragraph Font"/>
    <w:semiHidden/>
    <w:uiPriority w:val="0"/>
  </w:style>
  <w:style w:type="table" w:default="1" w:styleId="10">
    <w:name w:val="Normal Table"/>
    <w:semiHidden/>
    <w:uiPriority w:val="0"/>
    <w:tblPr>
      <w:tblStyle w:val="10"/>
      <w:tblCellMar>
        <w:top w:w="0" w:type="dxa"/>
        <w:left w:w="108" w:type="dxa"/>
        <w:bottom w:w="0" w:type="dxa"/>
        <w:right w:w="108" w:type="dxa"/>
      </w:tblCellMar>
    </w:tblPr>
  </w:style>
  <w:style w:type="paragraph" w:styleId="5">
    <w:name w:val="Plain Text"/>
    <w:basedOn w:val="1"/>
    <w:qFormat/>
    <w:uiPriority w:val="0"/>
    <w:rPr>
      <w:rFonts w:ascii="宋体" w:hAnsi="Courier New"/>
      <w:szCs w:val="21"/>
    </w:rPr>
  </w:style>
  <w:style w:type="paragraph" w:styleId="6">
    <w:name w:val="footer"/>
    <w:basedOn w:val="1"/>
    <w:link w:val="14"/>
    <w:unhideWhenUsed/>
    <w:uiPriority w:val="99"/>
    <w:pPr>
      <w:tabs>
        <w:tab w:val="center" w:pos="4153"/>
        <w:tab w:val="right" w:pos="8306"/>
      </w:tabs>
      <w:snapToGrid w:val="0"/>
      <w:jc w:val="left"/>
    </w:pPr>
    <w:rPr>
      <w:sz w:val="18"/>
      <w:szCs w:val="18"/>
    </w:rPr>
  </w:style>
  <w:style w:type="paragraph" w:styleId="7">
    <w:name w:val="header"/>
    <w:basedOn w:val="1"/>
    <w:link w:val="15"/>
    <w:unhideWhenUsed/>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uiPriority w:val="0"/>
    <w:rPr>
      <w:color w:val="0000FF"/>
      <w:u w:val="single"/>
    </w:rPr>
  </w:style>
  <w:style w:type="character" w:customStyle="1" w:styleId="14">
    <w:name w:val="页脚 字符"/>
    <w:link w:val="6"/>
    <w:semiHidden/>
    <w:uiPriority w:val="99"/>
    <w:rPr>
      <w:kern w:val="2"/>
      <w:sz w:val="18"/>
      <w:szCs w:val="18"/>
    </w:rPr>
  </w:style>
  <w:style w:type="character" w:customStyle="1" w:styleId="15">
    <w:name w:val="页眉 字符"/>
    <w:link w:val="7"/>
    <w:semiHidden/>
    <w:uiPriority w:val="99"/>
    <w:rPr>
      <w:kern w:val="2"/>
      <w:sz w:val="18"/>
      <w:szCs w:val="18"/>
    </w:rPr>
  </w:style>
  <w:style w:type="paragraph" w:customStyle="1" w:styleId="16">
    <w:name w:val="Default"/>
    <w:uiPriority w:val="0"/>
    <w:pPr>
      <w:widowControl w:val="0"/>
      <w:autoSpaceDE w:val="0"/>
      <w:autoSpaceDN w:val="0"/>
      <w:adjustRightInd w:val="0"/>
    </w:pPr>
    <w:rPr>
      <w:rFonts w:ascii="Arial" w:hAnsi="Arial" w:cs="Arial"/>
      <w:color w:val="000000"/>
      <w:sz w:val="24"/>
      <w:szCs w:val="24"/>
      <w:lang w:val="en-US" w:eastAsia="zh-CN" w:bidi="ar-SA"/>
    </w:rPr>
  </w:style>
  <w:style w:type="paragraph" w:customStyle="1" w:styleId="17">
    <w:name w:val="列出段落"/>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7</Pages>
  <Words>2866</Words>
  <Characters>3928</Characters>
  <Lines>152</Lines>
  <Paragraphs>42</Paragraphs>
  <TotalTime>3</TotalTime>
  <ScaleCrop>false</ScaleCrop>
  <LinksUpToDate>false</LinksUpToDate>
  <CharactersWithSpaces>4240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2010-03-20T02:29:00Z</dcterms:created>
  <dc:creator>微软用户</dc:creator>
  <cp:lastModifiedBy>被遗忘的童心</cp:lastModifiedBy>
  <dcterms:modified xsi:type="dcterms:W3CDTF">2026-03-13T13:22:51Z</dcterms:modified>
  <dc:title>【实验2】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BD43F1C710FC41DAAF9C348A6AF80EA7_13</vt:lpwstr>
  </property>
</Properties>
</file>