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hint="default" w:ascii="方正小标宋_GBK" w:eastAsia="方正小标宋_GBK" w:hAnsiTheme="majorEastAsia" w:cstheme="majorEastAsia"/>
          <w:sz w:val="72"/>
          <w:szCs w:val="72"/>
          <w:lang w:val="en-US"/>
        </w:rPr>
      </w:pPr>
      <w:r>
        <w:rPr>
          <w:rFonts w:hint="eastAsia" w:ascii="方正小标宋_GBK" w:eastAsia="方正小标宋_GBK" w:hAnsiTheme="majorEastAsia" w:cstheme="majorEastAsia"/>
          <w:sz w:val="72"/>
          <w:szCs w:val="72"/>
        </w:rPr>
        <w:t>璧山区·系列片</w:t>
      </w:r>
      <w:r>
        <w:rPr>
          <w:rFonts w:hint="eastAsia" w:ascii="方正小标宋_GBK" w:eastAsia="方正小标宋_GBK" w:hAnsiTheme="majorEastAsia" w:cstheme="majorEastAsia"/>
          <w:sz w:val="72"/>
          <w:szCs w:val="72"/>
          <w:lang w:val="en-US" w:eastAsia="zh-CN"/>
        </w:rPr>
        <w:t>脚本</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420" w:leftChars="0" w:hanging="420" w:firstLineChars="0"/>
        <w:textAlignment w:val="auto"/>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概述</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黑体" w:hAnsi="黑体" w:eastAsia="黑体" w:cs="黑体"/>
          <w:sz w:val="32"/>
          <w:szCs w:val="32"/>
        </w:rPr>
      </w:pPr>
      <w:r>
        <w:rPr>
          <w:rFonts w:hint="eastAsia" w:ascii="黑体" w:hAnsi="黑体" w:eastAsia="黑体" w:cs="黑体"/>
          <w:sz w:val="32"/>
          <w:szCs w:val="32"/>
          <w:lang w:eastAsia="zh-CN"/>
        </w:rPr>
        <w:t>一、成片标准</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sectPr>
          <w:pgSz w:w="20809" w:h="14685" w:orient="landscape"/>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【片名】璧山·</w:t>
      </w:r>
      <w:bookmarkStart w:id="0" w:name="_GoBack"/>
      <w:r>
        <w:rPr>
          <w:rFonts w:hint="eastAsia" w:ascii="宋体" w:hAnsi="宋体" w:eastAsia="宋体" w:cs="宋体"/>
          <w:sz w:val="28"/>
          <w:szCs w:val="28"/>
          <w:lang w:val="en-US" w:eastAsia="zh-CN"/>
        </w:rPr>
        <w:t>活力之城</w:t>
      </w:r>
    </w:p>
    <w:bookmarkEnd w:id="0"/>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【出品】中共重庆市璧山区区委宣传部</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【策划】重庆港渝影视文化传媒有限公司</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【语种】中文</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【规格】1920×1080/16:9</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【时长】3-5分钟</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【类型】文旅营销片</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sectPr>
          <w:type w:val="continuous"/>
          <w:pgSz w:w="20809" w:h="14685" w:orient="landscape"/>
          <w:pgMar w:top="720" w:right="720" w:bottom="720" w:left="720" w:header="851" w:footer="992" w:gutter="0"/>
          <w:cols w:equalWidth="0" w:num="2">
            <w:col w:w="9472" w:space="425"/>
            <w:col w:w="9472"/>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p>
    <w:p>
      <w:pPr>
        <w:keepNext w:val="0"/>
        <w:keepLines w:val="0"/>
        <w:pageBreakBefore w:val="0"/>
        <w:numPr>
          <w:ilvl w:val="0"/>
          <w:numId w:val="0"/>
        </w:numPr>
        <w:kinsoku/>
        <w:wordWrap/>
        <w:overflowPunct/>
        <w:topLinePunct w:val="0"/>
        <w:autoSpaceDE/>
        <w:autoSpaceDN/>
        <w:bidi w:val="0"/>
        <w:spacing w:line="480" w:lineRule="exact"/>
        <w:textAlignment w:val="auto"/>
        <w:rPr>
          <w:rFonts w:hint="eastAsia"/>
          <w:lang w:val="en-US" w:eastAsia="zh-CN"/>
        </w:rPr>
      </w:pPr>
      <w:r>
        <w:rPr>
          <w:rFonts w:hint="eastAsia" w:ascii="黑体" w:hAnsi="黑体" w:eastAsia="黑体" w:cs="黑体"/>
          <w:sz w:val="32"/>
          <w:szCs w:val="32"/>
          <w:lang w:eastAsia="zh-CN"/>
        </w:rPr>
        <w:t>二、内容版块</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新兴业态蓬勃多元</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消费市场活力四射</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八方英才近悦远来</w:t>
      </w:r>
    </w:p>
    <w:p>
      <w:pPr>
        <w:keepNext w:val="0"/>
        <w:keepLines w:val="0"/>
        <w:pageBreakBefore w:val="0"/>
        <w:widowControl w:val="0"/>
        <w:numPr>
          <w:ilvl w:val="0"/>
          <w:numId w:val="2"/>
        </w:numPr>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黑体" w:hAnsi="黑体" w:eastAsia="黑体" w:cs="黑体"/>
          <w:sz w:val="32"/>
          <w:szCs w:val="32"/>
          <w:lang w:val="en-US" w:eastAsia="zh-CN"/>
        </w:rPr>
        <w:t>内容框架</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《璧山区政府工作报告》提出我区2022年目标任务和工作重点之一就是</w:t>
      </w:r>
      <w:r>
        <w:rPr>
          <w:rFonts w:hint="eastAsia" w:ascii="宋体" w:hAnsi="宋体" w:eastAsia="宋体" w:cs="宋体"/>
          <w:b/>
          <w:bCs/>
          <w:sz w:val="28"/>
          <w:szCs w:val="28"/>
          <w:lang w:val="en-US" w:eastAsia="zh-CN"/>
        </w:rPr>
        <w:t>着力宜业宜游，高品质建设活力之城</w:t>
      </w:r>
      <w:r>
        <w:rPr>
          <w:rFonts w:hint="eastAsia" w:ascii="宋体" w:hAnsi="宋体" w:eastAsia="宋体" w:cs="宋体"/>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lang w:val="en-US" w:eastAsia="zh-CN"/>
        </w:rPr>
        <w:t>【新兴业态蓬勃多元】云雾花涧”绿色农产品加工产业园建设；</w:t>
      </w:r>
      <w:r>
        <w:rPr>
          <w:rFonts w:hint="eastAsia" w:ascii="宋体" w:hAnsi="宋体" w:eastAsia="宋体" w:cs="宋体"/>
          <w:sz w:val="28"/>
          <w:szCs w:val="28"/>
          <w:highlight w:val="none"/>
          <w:lang w:val="en-US" w:eastAsia="zh-CN"/>
        </w:rPr>
        <w:t>绿色新型材料产业园建设；；西部陆海新通道重庆(璧山)口岸物流专业市场集群建设；曙光湖片区(“智慧之眼”)科技创新建；新能源装备产业园(新能源汽车)建设；玉泉湖片区(“进化光环”)数字经济产业建设；中新(重庆)生命科学产业园建设；</w:t>
      </w:r>
      <w:r>
        <w:rPr>
          <w:rFonts w:hint="eastAsia" w:ascii="宋体" w:hAnsi="宋体" w:eastAsia="宋体" w:cs="宋体"/>
          <w:sz w:val="28"/>
          <w:szCs w:val="28"/>
          <w:lang w:val="en-US" w:eastAsia="zh-CN"/>
        </w:rPr>
        <w:t>重庆新机场临空经济建设（含花木大道）</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消费市场活力四射】俊豪中央大街、非遗小镇开门迎客，TOD大型城市综合体、新加坡国际酒店、重庆中医药学院相继落户，服务业增加值达到396亿元，年均增长8.7%；重庆东盟合作中心落户，缅甸推广中心投用利用外资7.5亿美元，外贸进出口总额年均增长18.4%;金凤隧道、虎溪隧道建设；</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八方英才近悦远来】“璧山英才”“企业创新型人才”“璧山工匠”193名，人才总量突破8.5万人；哥伦比亚、缅甸、坦桑尼亚驻华大使来璧参访;成功举办第五届“一带一路”青少年创客营与教师研讨闭幕活动、重庆市外国领馆春季运动会;中新(重庆)科技城御湖片区开发建设</w:t>
      </w:r>
    </w:p>
    <w:p>
      <w:pPr>
        <w:keepNext w:val="0"/>
        <w:keepLines w:val="0"/>
        <w:pageBreakBefore w:val="0"/>
        <w:widowControl w:val="0"/>
        <w:numPr>
          <w:ilvl w:val="0"/>
          <w:numId w:val="3"/>
        </w:numPr>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解说词</w:t>
      </w:r>
    </w:p>
    <w:p>
      <w:pPr>
        <w:keepNext w:val="0"/>
        <w:keepLines w:val="0"/>
        <w:pageBreakBefore w:val="0"/>
        <w:widowControl w:val="0"/>
        <w:numPr>
          <w:numId w:val="0"/>
        </w:numPr>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碧波映城，城托青山，人在城中，城在画中。</w:t>
      </w:r>
    </w:p>
    <w:p>
      <w:pPr>
        <w:keepNext w:val="0"/>
        <w:keepLines w:val="0"/>
        <w:pageBreakBefore w:val="0"/>
        <w:widowControl w:val="0"/>
        <w:numPr>
          <w:numId w:val="0"/>
        </w:numPr>
        <w:kinsoku/>
        <w:wordWrap/>
        <w:overflowPunct/>
        <w:topLinePunct w:val="0"/>
        <w:autoSpaceDE/>
        <w:autoSpaceDN/>
        <w:bidi w:val="0"/>
        <w:adjustRightInd/>
        <w:snapToGrid/>
        <w:spacing w:line="480" w:lineRule="exact"/>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璧山作为重庆主城西进的“第一站”交通方便快捷，环境优雅宜居。近年来，璧山区加快产业转型升级，开始迸发活力、彰显魅力。</w:t>
      </w:r>
    </w:p>
    <w:p>
      <w:pPr>
        <w:keepNext w:val="0"/>
        <w:keepLines w:val="0"/>
        <w:pageBreakBefore w:val="0"/>
        <w:widowControl w:val="0"/>
        <w:numPr>
          <w:ilvl w:val="0"/>
          <w:numId w:val="0"/>
        </w:numPr>
        <w:kinsoku/>
        <w:wordWrap/>
        <w:overflowPunct/>
        <w:topLinePunct w:val="0"/>
        <w:autoSpaceDE/>
        <w:autoSpaceDN/>
        <w:bidi w:val="0"/>
        <w:adjustRightInd/>
        <w:snapToGrid/>
        <w:spacing w:after="200" w:line="480" w:lineRule="exact"/>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加快建设“科技璧山、创新璧山”,全面启动玉泉湖片区、曙光湖片区开发，规划建设玉泉湖国家级数字文创产业园，开工建设“进化光环”项目，聚焦发展数字创意、直播电商、动漫电竞、商务会展等新经济新业态，高标准建设曙光湖“智慧之眼”片区，围绕“五聚集一配套”定位，打造“科学之家、创新之城”。以重点企业引领，高水平规划专业集群，建设绿色新型材料产业园建设、新能源装备产业园建设、中新(重庆)生命科学产业园、云雾花涧”绿色农产品加工产业园、重庆新机场临空经济区等。</w:t>
      </w:r>
    </w:p>
    <w:p>
      <w:pPr>
        <w:keepNext w:val="0"/>
        <w:keepLines w:val="0"/>
        <w:pageBreakBefore w:val="0"/>
        <w:widowControl w:val="0"/>
        <w:numPr>
          <w:ilvl w:val="0"/>
          <w:numId w:val="0"/>
        </w:numPr>
        <w:kinsoku/>
        <w:wordWrap/>
        <w:overflowPunct/>
        <w:topLinePunct w:val="0"/>
        <w:autoSpaceDE/>
        <w:autoSpaceDN/>
        <w:bidi w:val="0"/>
        <w:adjustRightInd/>
        <w:snapToGrid/>
        <w:spacing w:after="200"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促进消费升级添活力，汇集更多人流、物流、资金流。紧跟全市打造国际消费中心城市步伐，提档升级传统消费，引进培育中高端消费业态，俊豪中央大街、非遗小镇开门迎客，TOD大型城市综合体、新加坡国际酒店、重庆中医药学院相继落户，服务业增加值达到396亿元，年均增长8.7%。建设金凤隧道、虎溪隧道，缓解当前交通紧张局面，增强成渝地区双城经济圈的通达性。营造良好营商环境，重庆东盟合作中心落户，缅甸推广中心投用国际友好交流城市实现“零”的突破。利用外资7.5亿美元，外贸进出口总额年均增长18.4%。</w:t>
      </w:r>
    </w:p>
    <w:p>
      <w:pPr>
        <w:keepNext w:val="0"/>
        <w:keepLines w:val="0"/>
        <w:pageBreakBefore w:val="0"/>
        <w:widowControl w:val="0"/>
        <w:numPr>
          <w:ilvl w:val="0"/>
          <w:numId w:val="0"/>
        </w:numPr>
        <w:kinsoku/>
        <w:wordWrap/>
        <w:overflowPunct/>
        <w:topLinePunct w:val="0"/>
        <w:autoSpaceDE/>
        <w:autoSpaceDN/>
        <w:bidi w:val="0"/>
        <w:adjustRightInd/>
        <w:snapToGrid/>
        <w:spacing w:after="200"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人才是推动城市发展的扎实底气，也是托举城市能级跃升的关键力量。“来了就是璧山人。”道出了璧山开放包容的城市形象。近年来，璧山不断深化人才发展体制机制改革为比亚迪研究院等出台“一企一策”，在资金、项目、平台等方面给予定向支持，延揽了以康佳、弗迪锂电池、中科曙光等为代表的一批突破关键核心技术的科技领军人才和高水平创新团队，“Micro LED”“刀片电池”“云巴”等全球领先或首创首发科创成果相继诞生。以引育体系，融通加速人才集聚，成功举办第五届“一带一路”青少年创客营与教师研讨闭幕活动、重庆市外国领馆春季运动会、中国西部动漫文化节，加强璧山的知名度，更好吸纳人才。截至目前，“璧山英才”“企业创新型人才”“璧山工匠”共193名，人才总量突破8.5万人。</w:t>
      </w:r>
    </w:p>
    <w:p>
      <w:pPr>
        <w:keepNext w:val="0"/>
        <w:keepLines w:val="0"/>
        <w:pageBreakBefore w:val="0"/>
        <w:widowControl w:val="0"/>
        <w:numPr>
          <w:ilvl w:val="0"/>
          <w:numId w:val="0"/>
        </w:numPr>
        <w:kinsoku/>
        <w:wordWrap/>
        <w:overflowPunct/>
        <w:topLinePunct w:val="0"/>
        <w:autoSpaceDE/>
        <w:autoSpaceDN/>
        <w:bidi w:val="0"/>
        <w:adjustRightInd/>
        <w:snapToGrid/>
        <w:spacing w:after="200" w:line="480" w:lineRule="exact"/>
        <w:ind w:firstLine="560" w:firstLineChars="2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如今，行走在</w:t>
      </w:r>
      <w:r>
        <w:rPr>
          <w:rFonts w:hint="eastAsia" w:ascii="宋体" w:hAnsi="宋体" w:eastAsia="宋体" w:cs="宋体"/>
          <w:sz w:val="28"/>
          <w:szCs w:val="28"/>
          <w:lang w:val="en-US" w:eastAsia="zh-CN"/>
        </w:rPr>
        <w:t>璧山大地，</w:t>
      </w:r>
      <w:r>
        <w:rPr>
          <w:rFonts w:hint="default" w:ascii="宋体" w:hAnsi="宋体" w:eastAsia="宋体" w:cs="宋体"/>
          <w:sz w:val="28"/>
          <w:szCs w:val="28"/>
          <w:lang w:val="en-US" w:eastAsia="zh-CN"/>
        </w:rPr>
        <w:t>城市建设如火如荼</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城市面貌日新月异</w:t>
      </w:r>
      <w:r>
        <w:rPr>
          <w:rFonts w:hint="eastAsia" w:ascii="宋体" w:hAnsi="宋体" w:eastAsia="宋体" w:cs="宋体"/>
          <w:sz w:val="28"/>
          <w:szCs w:val="28"/>
          <w:lang w:val="en-US" w:eastAsia="zh-CN"/>
        </w:rPr>
        <w:t>，迸发出无限活力与魅力。</w:t>
      </w:r>
    </w:p>
    <w:p>
      <w:pPr>
        <w:keepNext w:val="0"/>
        <w:keepLines w:val="0"/>
        <w:pageBreakBefore w:val="0"/>
        <w:widowControl w:val="0"/>
        <w:numPr>
          <w:ilvl w:val="0"/>
          <w:numId w:val="0"/>
        </w:numPr>
        <w:kinsoku/>
        <w:wordWrap/>
        <w:overflowPunct/>
        <w:topLinePunct w:val="0"/>
        <w:autoSpaceDE/>
        <w:autoSpaceDN/>
        <w:bidi w:val="0"/>
        <w:adjustRightInd/>
        <w:snapToGrid/>
        <w:spacing w:after="200" w:line="480" w:lineRule="exact"/>
        <w:textAlignment w:val="auto"/>
        <w:rPr>
          <w:rFonts w:hint="eastAsia" w:ascii="宋体" w:hAnsi="宋体" w:eastAsia="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00" w:line="480" w:lineRule="exact"/>
        <w:ind w:firstLine="560" w:firstLineChars="200"/>
        <w:textAlignment w:val="auto"/>
        <w:rPr>
          <w:rFonts w:hint="eastAsia" w:ascii="宋体" w:hAnsi="宋体" w:eastAsia="宋体" w:cs="宋体"/>
          <w:sz w:val="28"/>
          <w:szCs w:val="28"/>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420" w:leftChars="0" w:hanging="420" w:firstLineChars="0"/>
        <w:textAlignment w:val="auto"/>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脚本</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宋体" w:hAnsi="宋体" w:eastAsia="宋体" w:cs="宋体"/>
          <w:color w:val="C00000"/>
          <w:sz w:val="28"/>
          <w:szCs w:val="28"/>
          <w:lang w:val="en-US" w:eastAsia="zh-CN"/>
        </w:rPr>
      </w:pPr>
      <w:r>
        <w:rPr>
          <w:rFonts w:hint="eastAsia" w:ascii="黑体" w:hAnsi="黑体" w:eastAsia="黑体" w:cs="黑体"/>
          <w:color w:val="C00000"/>
          <w:sz w:val="32"/>
          <w:szCs w:val="32"/>
          <w:lang w:val="en-US" w:eastAsia="zh-CN"/>
        </w:rPr>
        <w:t>一、开篇</w:t>
      </w:r>
      <w:r>
        <w:rPr>
          <w:rFonts w:hint="eastAsia" w:ascii="宋体" w:hAnsi="宋体" w:eastAsia="宋体" w:cs="宋体"/>
          <w:color w:val="C00000"/>
          <w:sz w:val="28"/>
          <w:szCs w:val="28"/>
          <w:lang w:val="en-US" w:eastAsia="zh-CN"/>
        </w:rPr>
        <w:t>（5秒）</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7"/>
        <w:gridCol w:w="749"/>
        <w:gridCol w:w="2051"/>
        <w:gridCol w:w="4173"/>
        <w:gridCol w:w="3066"/>
        <w:gridCol w:w="2335"/>
        <w:gridCol w:w="1436"/>
        <w:gridCol w:w="884"/>
        <w:gridCol w:w="1348"/>
        <w:gridCol w:w="1213"/>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687"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镜号</w:t>
            </w:r>
          </w:p>
        </w:tc>
        <w:tc>
          <w:tcPr>
            <w:tcW w:w="749"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时长</w:t>
            </w:r>
          </w:p>
        </w:tc>
        <w:tc>
          <w:tcPr>
            <w:tcW w:w="2051"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场景</w:t>
            </w:r>
          </w:p>
        </w:tc>
        <w:tc>
          <w:tcPr>
            <w:tcW w:w="4173"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8"/>
                <w:szCs w:val="28"/>
                <w:vertAlign w:val="baseline"/>
                <w:lang w:val="en-US" w:eastAsia="zh-CN"/>
              </w:rPr>
            </w:pPr>
            <w:r>
              <w:rPr>
                <w:rFonts w:hint="eastAsia" w:ascii="宋体" w:hAnsi="宋体" w:eastAsia="宋体" w:cs="宋体"/>
                <w:b/>
                <w:bCs/>
                <w:sz w:val="28"/>
                <w:szCs w:val="28"/>
                <w:vertAlign w:val="baseline"/>
                <w:lang w:val="en-US" w:eastAsia="zh-CN"/>
              </w:rPr>
              <w:t>分镜头</w:t>
            </w:r>
          </w:p>
        </w:tc>
        <w:tc>
          <w:tcPr>
            <w:tcW w:w="3066"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8"/>
                <w:szCs w:val="28"/>
                <w:vertAlign w:val="baseline"/>
                <w:lang w:val="en-US" w:eastAsia="zh-CN"/>
              </w:rPr>
            </w:pPr>
            <w:r>
              <w:rPr>
                <w:rFonts w:hint="eastAsia" w:ascii="宋体" w:hAnsi="宋体" w:eastAsia="宋体" w:cs="宋体"/>
                <w:b/>
                <w:bCs/>
                <w:sz w:val="28"/>
                <w:szCs w:val="28"/>
                <w:vertAlign w:val="baseline"/>
                <w:lang w:val="en-US" w:eastAsia="zh-CN"/>
              </w:rPr>
              <w:t>示意画面</w:t>
            </w:r>
          </w:p>
        </w:tc>
        <w:tc>
          <w:tcPr>
            <w:tcW w:w="2335"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同期声/画外音</w:t>
            </w:r>
            <w:r>
              <w:rPr>
                <w:rFonts w:hint="eastAsia" w:ascii="宋体" w:hAnsi="宋体" w:eastAsia="宋体" w:cs="宋体"/>
                <w:sz w:val="28"/>
                <w:szCs w:val="28"/>
                <w:vertAlign w:val="baseline"/>
                <w:lang w:val="en-US" w:eastAsia="zh-CN"/>
              </w:rPr>
              <w:t>（除背景音乐外）</w:t>
            </w:r>
          </w:p>
        </w:tc>
        <w:tc>
          <w:tcPr>
            <w:tcW w:w="1436"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道具</w:t>
            </w:r>
          </w:p>
        </w:tc>
        <w:tc>
          <w:tcPr>
            <w:tcW w:w="884"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演员</w:t>
            </w:r>
          </w:p>
        </w:tc>
        <w:tc>
          <w:tcPr>
            <w:tcW w:w="1348"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产品</w:t>
            </w:r>
          </w:p>
        </w:tc>
        <w:tc>
          <w:tcPr>
            <w:tcW w:w="1213"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场地</w:t>
            </w:r>
          </w:p>
        </w:tc>
        <w:tc>
          <w:tcPr>
            <w:tcW w:w="1643" w:type="dxa"/>
            <w:shd w:val="clear" w:color="auto" w:fill="DAE3F3" w:themeFill="accent5" w:themeFillTint="32"/>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749"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2051" w:type="dxa"/>
            <w:vMerge w:val="restar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417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306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sz w:val="21"/>
                <w:szCs w:val="21"/>
                <w:vertAlign w:val="baseline"/>
                <w:lang w:val="en-US" w:eastAsia="zh-CN"/>
              </w:rPr>
            </w:pPr>
          </w:p>
        </w:tc>
        <w:tc>
          <w:tcPr>
            <w:tcW w:w="233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436"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884"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348" w:type="dxa"/>
            <w:vMerge w:val="restart"/>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21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64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749"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2051"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417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306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sz w:val="21"/>
                <w:szCs w:val="21"/>
                <w:vertAlign w:val="baseline"/>
                <w:lang w:val="en-US" w:eastAsia="zh-CN"/>
              </w:rPr>
            </w:pPr>
          </w:p>
        </w:tc>
        <w:tc>
          <w:tcPr>
            <w:tcW w:w="233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436"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884"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348" w:type="dxa"/>
            <w:vMerge w:val="continue"/>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21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64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749"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2051"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417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1"/>
                <w:szCs w:val="21"/>
                <w:vertAlign w:val="baseline"/>
                <w:lang w:val="en-US" w:eastAsia="zh-CN"/>
              </w:rPr>
            </w:pPr>
          </w:p>
        </w:tc>
        <w:tc>
          <w:tcPr>
            <w:tcW w:w="306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sz w:val="21"/>
                <w:szCs w:val="21"/>
                <w:vertAlign w:val="baseline"/>
                <w:lang w:val="en-US" w:eastAsia="zh-CN"/>
              </w:rPr>
            </w:pPr>
          </w:p>
        </w:tc>
        <w:tc>
          <w:tcPr>
            <w:tcW w:w="233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436"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884"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348"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21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64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749"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2051"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417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1"/>
                <w:szCs w:val="21"/>
                <w:vertAlign w:val="baseline"/>
                <w:lang w:val="en-US" w:eastAsia="zh-CN"/>
              </w:rPr>
            </w:pPr>
          </w:p>
        </w:tc>
        <w:tc>
          <w:tcPr>
            <w:tcW w:w="306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sz w:val="21"/>
                <w:szCs w:val="21"/>
                <w:vertAlign w:val="baseline"/>
                <w:lang w:val="en-US" w:eastAsia="zh-CN"/>
              </w:rPr>
            </w:pPr>
          </w:p>
        </w:tc>
        <w:tc>
          <w:tcPr>
            <w:tcW w:w="233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436"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884"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348"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21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64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749"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2051"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417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1"/>
                <w:szCs w:val="21"/>
                <w:vertAlign w:val="baseline"/>
                <w:lang w:val="en-US" w:eastAsia="zh-CN"/>
              </w:rPr>
            </w:pPr>
          </w:p>
        </w:tc>
        <w:tc>
          <w:tcPr>
            <w:tcW w:w="306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sz w:val="21"/>
                <w:szCs w:val="21"/>
                <w:vertAlign w:val="baseline"/>
                <w:lang w:val="en-US" w:eastAsia="zh-CN"/>
              </w:rPr>
            </w:pPr>
          </w:p>
        </w:tc>
        <w:tc>
          <w:tcPr>
            <w:tcW w:w="233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436"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884"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348"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21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64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749"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2051"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417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1"/>
                <w:szCs w:val="21"/>
                <w:vertAlign w:val="baseline"/>
                <w:lang w:val="en-US" w:eastAsia="zh-CN"/>
              </w:rPr>
            </w:pPr>
          </w:p>
        </w:tc>
        <w:tc>
          <w:tcPr>
            <w:tcW w:w="306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sz w:val="21"/>
                <w:szCs w:val="21"/>
                <w:vertAlign w:val="baseline"/>
                <w:lang w:val="en-US" w:eastAsia="zh-CN"/>
              </w:rPr>
            </w:pPr>
          </w:p>
        </w:tc>
        <w:tc>
          <w:tcPr>
            <w:tcW w:w="233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436"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884"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348"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21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64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749"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2051"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417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1"/>
                <w:szCs w:val="21"/>
                <w:vertAlign w:val="baseline"/>
                <w:lang w:val="en-US" w:eastAsia="zh-CN"/>
              </w:rPr>
            </w:pPr>
          </w:p>
        </w:tc>
        <w:tc>
          <w:tcPr>
            <w:tcW w:w="306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sz w:val="21"/>
                <w:szCs w:val="21"/>
                <w:vertAlign w:val="baseline"/>
                <w:lang w:val="en-US" w:eastAsia="zh-CN"/>
              </w:rPr>
            </w:pPr>
          </w:p>
        </w:tc>
        <w:tc>
          <w:tcPr>
            <w:tcW w:w="233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436"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884"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348"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21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64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7"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749"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2051"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417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b/>
                <w:bCs/>
                <w:sz w:val="21"/>
                <w:szCs w:val="21"/>
                <w:vertAlign w:val="baseline"/>
                <w:lang w:val="en-US" w:eastAsia="zh-CN"/>
              </w:rPr>
            </w:pPr>
          </w:p>
        </w:tc>
        <w:tc>
          <w:tcPr>
            <w:tcW w:w="306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宋体" w:hAnsi="宋体" w:eastAsia="宋体" w:cs="宋体"/>
                <w:sz w:val="21"/>
                <w:szCs w:val="21"/>
                <w:vertAlign w:val="baseline"/>
                <w:lang w:val="en-US" w:eastAsia="zh-CN"/>
              </w:rPr>
            </w:pPr>
          </w:p>
        </w:tc>
        <w:tc>
          <w:tcPr>
            <w:tcW w:w="2335"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436"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884"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eastAsia" w:ascii="宋体" w:hAnsi="宋体" w:eastAsia="宋体" w:cs="宋体"/>
                <w:sz w:val="21"/>
                <w:szCs w:val="21"/>
                <w:vertAlign w:val="baseline"/>
                <w:lang w:val="en-US" w:eastAsia="zh-CN"/>
              </w:rPr>
            </w:pPr>
          </w:p>
        </w:tc>
        <w:tc>
          <w:tcPr>
            <w:tcW w:w="1348"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21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c>
          <w:tcPr>
            <w:tcW w:w="1643" w:type="dxa"/>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宋体" w:hAnsi="宋体" w:eastAsia="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宋体" w:hAnsi="宋体" w:eastAsia="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宋体" w:hAnsi="宋体" w:eastAsia="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宋体" w:hAnsi="宋体" w:eastAsia="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宋体" w:hAnsi="宋体" w:eastAsia="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宋体" w:hAnsi="宋体" w:eastAsia="宋体" w:cs="宋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宋体" w:hAnsi="宋体" w:eastAsia="宋体" w:cs="宋体"/>
          <w:sz w:val="28"/>
          <w:szCs w:val="28"/>
          <w:lang w:val="en-US" w:eastAsia="zh-CN"/>
        </w:rPr>
      </w:pPr>
    </w:p>
    <w:sectPr>
      <w:type w:val="continuous"/>
      <w:pgSz w:w="20809" w:h="14685" w:orient="landscape"/>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7211712-F002-42D8-AC12-237D17F289D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方正小标宋_GBK">
    <w:panose1 w:val="02000000000000000000"/>
    <w:charset w:val="86"/>
    <w:family w:val="script"/>
    <w:pitch w:val="default"/>
    <w:sig w:usb0="A00002BF" w:usb1="38CF7CFA" w:usb2="00082016" w:usb3="00000000" w:csb0="00040001" w:csb1="00000000"/>
    <w:embedRegular r:id="rId2" w:fontKey="{A24F6364-F731-43FF-9833-A15679F4B83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319AA"/>
    <w:multiLevelType w:val="singleLevel"/>
    <w:tmpl w:val="0F2319AA"/>
    <w:lvl w:ilvl="0" w:tentative="0">
      <w:start w:val="1"/>
      <w:numFmt w:val="bullet"/>
      <w:lvlText w:val=""/>
      <w:lvlJc w:val="left"/>
      <w:pPr>
        <w:ind w:left="420" w:hanging="420"/>
      </w:pPr>
      <w:rPr>
        <w:rFonts w:hint="default" w:ascii="Wingdings" w:hAnsi="Wingdings"/>
      </w:rPr>
    </w:lvl>
  </w:abstractNum>
  <w:abstractNum w:abstractNumId="1">
    <w:nsid w:val="2877012F"/>
    <w:multiLevelType w:val="singleLevel"/>
    <w:tmpl w:val="2877012F"/>
    <w:lvl w:ilvl="0" w:tentative="0">
      <w:start w:val="3"/>
      <w:numFmt w:val="chineseCounting"/>
      <w:suff w:val="nothing"/>
      <w:lvlText w:val="%1、"/>
      <w:lvlJc w:val="left"/>
      <w:rPr>
        <w:rFonts w:hint="eastAsia"/>
      </w:rPr>
    </w:lvl>
  </w:abstractNum>
  <w:abstractNum w:abstractNumId="2">
    <w:nsid w:val="41253EBB"/>
    <w:multiLevelType w:val="singleLevel"/>
    <w:tmpl w:val="41253EBB"/>
    <w:lvl w:ilvl="0" w:tentative="0">
      <w:start w:val="4"/>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D0655E"/>
    <w:rsid w:val="0115325B"/>
    <w:rsid w:val="01192D51"/>
    <w:rsid w:val="047F7CA0"/>
    <w:rsid w:val="04A92FD0"/>
    <w:rsid w:val="059B0206"/>
    <w:rsid w:val="075C620A"/>
    <w:rsid w:val="08533CD1"/>
    <w:rsid w:val="0B95777E"/>
    <w:rsid w:val="0D9B086C"/>
    <w:rsid w:val="0F7A06CF"/>
    <w:rsid w:val="10A570A1"/>
    <w:rsid w:val="12BC7C21"/>
    <w:rsid w:val="13171837"/>
    <w:rsid w:val="13C938D6"/>
    <w:rsid w:val="156B0013"/>
    <w:rsid w:val="17220EF4"/>
    <w:rsid w:val="1C5E5172"/>
    <w:rsid w:val="1D540FD2"/>
    <w:rsid w:val="20D1134F"/>
    <w:rsid w:val="22BF54E7"/>
    <w:rsid w:val="234E5943"/>
    <w:rsid w:val="25450AB1"/>
    <w:rsid w:val="2833205E"/>
    <w:rsid w:val="290167F9"/>
    <w:rsid w:val="2C0F5C14"/>
    <w:rsid w:val="2DD47A25"/>
    <w:rsid w:val="2E0467CB"/>
    <w:rsid w:val="2E167FE8"/>
    <w:rsid w:val="2E463816"/>
    <w:rsid w:val="2EBF725C"/>
    <w:rsid w:val="3057670B"/>
    <w:rsid w:val="32784A6D"/>
    <w:rsid w:val="34387101"/>
    <w:rsid w:val="35B07A37"/>
    <w:rsid w:val="3827773E"/>
    <w:rsid w:val="38B220ED"/>
    <w:rsid w:val="3A897D85"/>
    <w:rsid w:val="3A940E30"/>
    <w:rsid w:val="3C1F6D8B"/>
    <w:rsid w:val="3E547B42"/>
    <w:rsid w:val="3F2D1364"/>
    <w:rsid w:val="41F73992"/>
    <w:rsid w:val="43634DD2"/>
    <w:rsid w:val="44FA1C6C"/>
    <w:rsid w:val="48B96DF9"/>
    <w:rsid w:val="48D941E3"/>
    <w:rsid w:val="4B214C2B"/>
    <w:rsid w:val="4C7118EE"/>
    <w:rsid w:val="4DBB3F8A"/>
    <w:rsid w:val="4E213CD4"/>
    <w:rsid w:val="50C94D93"/>
    <w:rsid w:val="51012D86"/>
    <w:rsid w:val="554531B3"/>
    <w:rsid w:val="55AE1A71"/>
    <w:rsid w:val="563C37A5"/>
    <w:rsid w:val="57D73AC1"/>
    <w:rsid w:val="58DC62DB"/>
    <w:rsid w:val="5ABC461D"/>
    <w:rsid w:val="5B2D0A4C"/>
    <w:rsid w:val="5CDF22C5"/>
    <w:rsid w:val="5FAE2E98"/>
    <w:rsid w:val="5FFD20DE"/>
    <w:rsid w:val="6202543E"/>
    <w:rsid w:val="660B1907"/>
    <w:rsid w:val="675C1659"/>
    <w:rsid w:val="67943A9F"/>
    <w:rsid w:val="6938729D"/>
    <w:rsid w:val="6AAA4488"/>
    <w:rsid w:val="6B262708"/>
    <w:rsid w:val="6E823820"/>
    <w:rsid w:val="72725343"/>
    <w:rsid w:val="76111F9C"/>
    <w:rsid w:val="76155F18"/>
    <w:rsid w:val="761A033A"/>
    <w:rsid w:val="77620737"/>
    <w:rsid w:val="783C3899"/>
    <w:rsid w:val="78A77EF8"/>
    <w:rsid w:val="7DF11412"/>
    <w:rsid w:val="7E9F7642"/>
    <w:rsid w:val="7ED0655E"/>
    <w:rsid w:val="7FF32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黑体"/>
      <w:sz w:val="22"/>
      <w:szCs w:val="22"/>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Office_11.1.0.11035_F1E327BC-269C-435d-A152-05C5408002CA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2020-07-16T04:08:00Z</dcterms:created>
  <dc:creator>一如既往</dc:creator>
  <cp:lastModifiedBy>Admin</cp:lastModifiedBy>
  <dcterms:modified xsi:type="dcterms:W3CDTF">2022-02-16T02:19:04Z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2052-11.1.0.11035</vt:lpwstr>
  </property>
  <property fmtid="{D5CDD505-2E9C-101B-9397-08002B2CF9AE}" pid="3" name="ICV">
    <vt:lpwstr>C5725B244472440CBE59DECDB3EF188D</vt:lpwstr>
  </property>
</Properties>
</file>