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  <w:rPr>
          <w:sz w:val="40"/>
          <w:szCs w:val="40"/>
        </w:rPr>
      </w:pPr>
      <w:r>
        <w:rPr>
          <w:sz w:val="40"/>
          <w:szCs w:val="40"/>
        </w:rPr>
        <w:t>叩持杯初赛待办清单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为了帮助大家更好地熟悉和完成初赛流程，给出以下学习步骤及相关路径~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  <w:woUserID w:val="5"/>
        </w:rPr>
        <w:drawing>
          <wp:inline distT="0" distB="0" distL="114300" distR="114300">
            <wp:extent cx="5266055" cy="3192780"/>
            <wp:effectExtent l="0" t="0" r="10795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每组参赛队员使用一个服务器账号，账号密码在IC修真院班主任老师处领取；登录上服务器后，相关配置文件可在如下路径复制（.vimrc--vi编辑器配置文件，需复制；.cshrc--环境配置文件，主要配置一些快捷指令，可选复制；.vim--vi编辑器配置文件，需复制）以上文件统一复制在~目录下。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  <w:woUserID w:val="7"/>
        </w:rPr>
        <w:t>p</w:t>
      </w:r>
      <w:r>
        <w:rPr>
          <w:sz w:val="28"/>
          <w:szCs w:val="28"/>
        </w:rPr>
        <w:drawing>
          <wp:inline distT="0" distB="0" distL="0" distR="0">
            <wp:extent cx="5270500" cy="2646680"/>
            <wp:effectExtent l="0" t="0" r="0" b="0"/>
            <wp:docPr id="1" name="Picture 5" descr="Y24A74JFAA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Y24A74JFAAAH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在学习平台集创赛专栏中学习数电+verilog;</w:t>
      </w:r>
    </w:p>
    <w:p>
      <w:pPr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进入服务器中输入qinling选择数字1，进入相关项目库，cd target进行代码练习，可以参考verilog部分的基础代码进行EDA工具使用练习；服务器环境中设置只能在target目录下练习，所以需要复制示例代码到target目录下才能启动EDA工具；</w:t>
      </w:r>
    </w:p>
    <w:p>
      <w:pPr>
        <w:jc w:val="left"/>
        <w:rPr>
          <w:sz w:val="28"/>
          <w:szCs w:val="28"/>
        </w:rPr>
      </w:pPr>
      <w:bookmarkStart w:id="0" w:name="_GoBack"/>
      <w:r>
        <w:rPr>
          <w:sz w:val="28"/>
          <w:szCs w:val="28"/>
          <w:woUserID w:val="10"/>
        </w:rPr>
        <w:drawing>
          <wp:inline distT="0" distB="0" distL="0" distR="0">
            <wp:extent cx="5270500" cy="4187825"/>
            <wp:effectExtent l="0" t="0" r="6350" b="3175"/>
            <wp:docPr id="2" name="Picture 6" descr="5K7BH4JFACQ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5K7BH4JFACQA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在学习平台集创赛专栏中进行学习RISCV相关视频；</w:t>
      </w:r>
    </w:p>
    <w:p>
      <w:pPr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在如下路径复制项目代码至自己的target目录下进行查看；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0500" cy="1598930"/>
            <wp:effectExtent l="0" t="0" r="0" b="0"/>
            <wp:docPr id="3" name="Picture 7" descr="NALCV4JFABA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NALCV4JFABAH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8"/>
          <w:szCs w:val="28"/>
        </w:rPr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egoe UI Emoji">
    <w:altName w:val="DejaVu Sans"/>
    <w:panose1 w:val="020B0502040204020203"/>
    <w:charset w:val="00"/>
    <w:family w:val="auto"/>
    <w:pitch w:val="default"/>
    <w:sig w:usb0="00000000" w:usb1="00000000" w:usb2="08000000" w:usb3="00000000" w:csb0="0000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473A1"/>
    <w:rsid w:val="5FFB6C65"/>
    <w:rsid w:val="D7EF46EF"/>
    <w:rsid w:val="FFBFEB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326</Words>
  <Characters>466</Characters>
  <TotalTime>0</TotalTime>
  <ScaleCrop>false</ScaleCrop>
  <LinksUpToDate>false</LinksUpToDate>
  <CharactersWithSpaces>468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2026-03-03T10:39:00Z</dcterms:created>
  <dc:creator>webotl</dc:creator>
  <cp:lastModifiedBy>Impossible</cp:lastModifiedBy>
  <dcterms:modified xsi:type="dcterms:W3CDTF">2026-04-07T15:04:22Z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eyJoZGlkIjoiMjJjYWI5YTU3OGNlOGU5NWU5YzE0MmI0OWUxMjRhMmIiLCJ1c2VySWQiOiIyOTI4MzQ2ODIifQ==</vt:lpwstr>
  </property>
  <property fmtid="{D5CDD505-2E9C-101B-9397-08002B2CF9AE}" pid="4" name="KSOProductBuildVer">
    <vt:lpwstr>2052-0.0.0.0</vt:lpwstr>
  </property>
  <property fmtid="{D5CDD505-2E9C-101B-9397-08002B2CF9AE}" pid="5" name="ICV">
    <vt:lpwstr>9A258A5174A04EDC939732A497B8E392_12</vt:lpwstr>
  </property>
</Properties>
</file>