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ind w:right="964"/>
        <w:jc w:val="center"/>
        <w:rPr>
          <w:rFonts w:asciiTheme="majorHAnsi" w:hAnsiTheme="majorHAnsi" w:eastAsiaTheme="majorEastAsia" w:cstheme="majorBidi"/>
          <w:b/>
          <w:bCs/>
          <w:sz w:val="44"/>
          <w:szCs w:val="44"/>
        </w:rPr>
      </w:pPr>
      <w:r>
        <w:rPr>
          <w:rFonts w:hint="eastAsia" w:asciiTheme="majorHAnsi" w:hAnsiTheme="majorHAnsi" w:eastAsiaTheme="majorEastAsia" w:cstheme="majorBidi"/>
          <w:color w:val="0F4761" w:themeColor="accent1" w:themeShade="BF"/>
          <w:sz w:val="44"/>
          <w:szCs w:val="44"/>
        </w:rPr>
        <w:t xml:space="preserve">      </w:t>
      </w:r>
      <w:r>
        <w:rPr>
          <w:rFonts w:hint="eastAsia" w:asciiTheme="majorHAnsi" w:hAnsiTheme="majorHAnsi" w:eastAsiaTheme="majorEastAsia" w:cstheme="majorBidi"/>
          <w:b/>
          <w:bCs/>
          <w:sz w:val="44"/>
          <w:szCs w:val="44"/>
        </w:rPr>
        <w:t>第八届中国高校智能机器人大赛</w:t>
      </w:r>
    </w:p>
    <w:p>
      <w:pPr>
        <w:spacing w:line="480" w:lineRule="auto"/>
        <w:ind w:right="964"/>
        <w:jc w:val="center"/>
        <w:rPr>
          <w:rFonts w:asciiTheme="majorHAnsi" w:hAnsiTheme="majorHAnsi" w:eastAsiaTheme="majorEastAsia" w:cstheme="majorBidi"/>
          <w:color w:val="585858" w:themeColor="text1" w:themeTint="A6"/>
          <w:spacing w:val="15"/>
          <w:sz w:val="36"/>
          <w:szCs w:val="36"/>
        </w:rPr>
      </w:pPr>
      <w:r>
        <w:rPr>
          <w:rFonts w:hint="eastAsia" w:asciiTheme="majorHAnsi" w:hAnsiTheme="majorHAnsi" w:eastAsiaTheme="majorEastAsia" w:cstheme="majorBidi"/>
          <w:color w:val="585858" w:themeColor="text1" w:themeTint="A6"/>
          <w:spacing w:val="15"/>
          <w:sz w:val="36"/>
          <w:szCs w:val="36"/>
        </w:rPr>
        <w:t>主题一：自制实物</w:t>
      </w:r>
    </w:p>
    <w:p>
      <w:pPr>
        <w:spacing w:line="480" w:lineRule="auto"/>
        <w:ind w:right="964" w:firstLine="620" w:firstLineChars="200"/>
        <w:jc w:val="center"/>
        <w:rPr>
          <w:rFonts w:asciiTheme="majorHAnsi" w:hAnsiTheme="majorHAnsi" w:eastAsiaTheme="majorEastAsia" w:cstheme="majorBidi"/>
          <w:color w:val="585858" w:themeColor="text1" w:themeTint="A6"/>
          <w:spacing w:val="15"/>
          <w:sz w:val="28"/>
          <w:szCs w:val="28"/>
        </w:rPr>
      </w:pPr>
    </w:p>
    <w:p>
      <w:pPr>
        <w:spacing w:line="480" w:lineRule="auto"/>
        <w:ind w:right="964" w:firstLine="620" w:firstLineChars="200"/>
        <w:jc w:val="center"/>
        <w:rPr>
          <w:rFonts w:hint="eastAsia" w:asciiTheme="majorHAnsi" w:hAnsiTheme="majorHAnsi" w:eastAsiaTheme="majorEastAsia" w:cstheme="majorBidi"/>
          <w:color w:val="585858" w:themeColor="text1" w:themeTint="A6"/>
          <w:spacing w:val="15"/>
          <w:sz w:val="28"/>
          <w:szCs w:val="28"/>
        </w:rPr>
      </w:pPr>
    </w:p>
    <w:p>
      <w:pPr>
        <w:spacing w:line="480" w:lineRule="auto"/>
        <w:ind w:right="964" w:firstLine="964" w:firstLineChars="200"/>
        <w:jc w:val="center"/>
        <w:rPr>
          <w:rStyle w:val="32"/>
        </w:rPr>
      </w:pPr>
      <w:r>
        <w:rPr>
          <w:rFonts w:ascii="Times New Roman" w:hAnsi="Times New Roman" w:eastAsia="仿宋_GB2312"/>
          <w:b/>
          <w:bCs/>
          <w:sz w:val="48"/>
          <w:szCs w:val="48"/>
        </w:rPr>
        <w:drawing>
          <wp:inline distT="0" distB="0" distL="0" distR="0">
            <wp:extent cx="1930400" cy="1700530"/>
            <wp:effectExtent l="0" t="0" r="0" b="0"/>
            <wp:docPr id="1007268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819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948623" cy="1716218"/>
                    </a:xfrm>
                    <a:prstGeom prst="rect">
                      <a:avLst/>
                    </a:prstGeom>
                  </pic:spPr>
                </pic:pic>
              </a:graphicData>
            </a:graphic>
          </wp:inline>
        </w:drawing>
      </w:r>
    </w:p>
    <w:p>
      <w:pPr>
        <w:spacing w:line="480" w:lineRule="auto"/>
        <w:ind w:right="964" w:firstLine="560" w:firstLineChars="200"/>
        <w:jc w:val="center"/>
        <w:rPr>
          <w:rFonts w:ascii="Times New Roman" w:hAnsi="Times New Roman" w:eastAsia="方正大标宋简体"/>
          <w:bCs/>
          <w:i/>
          <w:kern w:val="44"/>
          <w:sz w:val="28"/>
          <w:szCs w:val="36"/>
        </w:rPr>
      </w:pPr>
    </w:p>
    <w:p>
      <w:pPr>
        <w:spacing w:line="480" w:lineRule="auto"/>
        <w:ind w:right="964" w:firstLine="883" w:firstLineChars="200"/>
        <w:jc w:val="center"/>
        <w:rPr>
          <w:rFonts w:ascii="Times New Roman" w:hAnsi="Times New Roman" w:eastAsia="方正大标宋简体"/>
          <w:b/>
          <w:iCs/>
          <w:kern w:val="44"/>
          <w:sz w:val="44"/>
          <w:szCs w:val="52"/>
        </w:rPr>
      </w:pPr>
      <w:r>
        <w:rPr>
          <w:rFonts w:hint="eastAsia" w:ascii="Times New Roman" w:hAnsi="Times New Roman" w:eastAsia="方正大标宋简体"/>
          <w:b/>
          <w:iCs/>
          <w:kern w:val="44"/>
          <w:sz w:val="44"/>
          <w:szCs w:val="52"/>
        </w:rPr>
        <w:t>项目创意设计说明</w:t>
      </w:r>
    </w:p>
    <w:p>
      <w:pPr>
        <w:spacing w:line="480" w:lineRule="auto"/>
        <w:ind w:right="964" w:firstLine="560" w:firstLineChars="200"/>
        <w:jc w:val="center"/>
        <w:rPr>
          <w:rFonts w:ascii="Times New Roman" w:hAnsi="Times New Roman" w:eastAsia="方正大标宋简体"/>
          <w:bCs/>
          <w:i/>
          <w:kern w:val="44"/>
          <w:sz w:val="28"/>
          <w:szCs w:val="36"/>
        </w:rPr>
      </w:pPr>
    </w:p>
    <w:p>
      <w:pPr>
        <w:spacing w:line="480" w:lineRule="auto"/>
        <w:ind w:right="964" w:firstLine="560" w:firstLineChars="200"/>
        <w:jc w:val="center"/>
        <w:rPr>
          <w:rFonts w:hint="eastAsia" w:ascii="Times New Roman" w:hAnsi="Times New Roman" w:eastAsia="方正大标宋简体"/>
          <w:bCs/>
          <w:i/>
          <w:kern w:val="44"/>
          <w:sz w:val="28"/>
          <w:szCs w:val="36"/>
        </w:rPr>
      </w:pPr>
    </w:p>
    <w:p>
      <w:pPr>
        <w:jc w:val="center"/>
        <w:rPr>
          <w:rFonts w:asciiTheme="majorEastAsia" w:hAnsiTheme="majorEastAsia" w:eastAsiaTheme="majorEastAsia"/>
          <w:b/>
          <w:bCs/>
          <w:sz w:val="32"/>
          <w:szCs w:val="32"/>
        </w:rPr>
      </w:pPr>
      <w:r>
        <w:rPr>
          <w:rFonts w:hint="eastAsia" w:asciiTheme="majorEastAsia" w:hAnsiTheme="majorEastAsia" w:eastAsiaTheme="majorEastAsia"/>
          <w:sz w:val="32"/>
          <w:szCs w:val="32"/>
        </w:rPr>
        <w:t>【项目名称】</w:t>
      </w:r>
      <w:bookmarkStart w:id="0" w:name="_Hlk198742578"/>
      <w:r>
        <w:rPr>
          <w:rFonts w:hint="eastAsia" w:asciiTheme="majorEastAsia" w:hAnsiTheme="majorEastAsia" w:eastAsiaTheme="majorEastAsia"/>
          <w:b/>
          <w:bCs/>
          <w:sz w:val="32"/>
          <w:szCs w:val="32"/>
        </w:rPr>
        <w:t>奶立方-MilkMatrix——智能奶粉冲调中心</w:t>
      </w:r>
    </w:p>
    <w:bookmarkEnd w:id="0"/>
    <w:p>
      <w:pPr>
        <w:jc w:val="center"/>
        <w:rPr>
          <w:rFonts w:ascii="Times New Roman" w:hAnsi="Times New Roman" w:eastAsia="仿宋_GB2312"/>
          <w:sz w:val="40"/>
          <w:szCs w:val="48"/>
        </w:rPr>
      </w:pPr>
    </w:p>
    <w:p>
      <w:pPr>
        <w:spacing w:line="500" w:lineRule="exact"/>
        <w:rPr>
          <w:rFonts w:ascii="Times New Roman" w:hAnsi="Times New Roman" w:eastAsia="仿宋_GB2312"/>
          <w:sz w:val="28"/>
          <w:szCs w:val="28"/>
        </w:rPr>
      </w:pPr>
    </w:p>
    <w:p>
      <w:pPr>
        <w:spacing w:line="500" w:lineRule="exact"/>
        <w:rPr>
          <w:rFonts w:ascii="Times New Roman" w:hAnsi="Times New Roman" w:eastAsia="仿宋_GB2312"/>
          <w:sz w:val="28"/>
          <w:szCs w:val="28"/>
        </w:rPr>
      </w:pPr>
    </w:p>
    <w:p>
      <w:pPr>
        <w:spacing w:line="500" w:lineRule="exact"/>
        <w:rPr>
          <w:rFonts w:hint="eastAsia" w:ascii="Times New Roman" w:hAnsi="Times New Roman" w:eastAsia="仿宋_GB2312"/>
          <w:sz w:val="28"/>
          <w:szCs w:val="28"/>
        </w:rPr>
      </w:pPr>
    </w:p>
    <w:p>
      <w:pPr>
        <w:spacing w:line="500" w:lineRule="exact"/>
        <w:ind w:left="2495"/>
        <w:jc w:val="left"/>
        <w:rPr>
          <w:rFonts w:ascii="Times New Roman" w:hAnsi="Times New Roman" w:eastAsia="仿宋_GB2312"/>
          <w:sz w:val="28"/>
          <w:szCs w:val="28"/>
        </w:rPr>
      </w:pPr>
      <w:r>
        <w:rPr>
          <w:rFonts w:hint="eastAsia" w:ascii="Times New Roman" w:hAnsi="Times New Roman" w:eastAsia="仿宋_GB2312"/>
          <w:sz w:val="28"/>
          <w:szCs w:val="28"/>
        </w:rPr>
        <w:t>所在赛区：</w:t>
      </w:r>
      <w:r>
        <w:rPr>
          <w:rFonts w:hint="eastAsia" w:ascii="Times New Roman" w:hAnsi="Times New Roman" w:eastAsia="仿宋_GB2312"/>
          <w:sz w:val="28"/>
          <w:szCs w:val="28"/>
          <w:u w:val="single"/>
        </w:rPr>
        <w:t>湖北省</w:t>
      </w:r>
    </w:p>
    <w:p>
      <w:pPr>
        <w:spacing w:line="500" w:lineRule="exact"/>
        <w:ind w:left="2495"/>
        <w:jc w:val="left"/>
        <w:rPr>
          <w:rFonts w:ascii="Times New Roman" w:hAnsi="Times New Roman" w:eastAsia="仿宋_GB2312"/>
          <w:sz w:val="28"/>
          <w:szCs w:val="28"/>
          <w:u w:val="single"/>
        </w:rPr>
      </w:pPr>
      <w:r>
        <w:rPr>
          <w:rFonts w:hint="eastAsia" w:ascii="Times New Roman" w:hAnsi="Times New Roman" w:eastAsia="仿宋_GB2312"/>
          <w:sz w:val="28"/>
          <w:szCs w:val="28"/>
        </w:rPr>
        <w:t>所在学校：</w:t>
      </w:r>
      <w:r>
        <w:rPr>
          <w:rFonts w:hint="eastAsia" w:ascii="Times New Roman" w:hAnsi="Times New Roman" w:eastAsia="仿宋_GB2312"/>
          <w:sz w:val="28"/>
          <w:szCs w:val="28"/>
          <w:u w:val="single"/>
        </w:rPr>
        <w:t>华中科技大学</w:t>
      </w:r>
    </w:p>
    <w:p>
      <w:pPr>
        <w:spacing w:line="500" w:lineRule="exact"/>
        <w:ind w:left="2495"/>
        <w:jc w:val="left"/>
        <w:rPr>
          <w:rFonts w:ascii="Times New Roman" w:hAnsi="Times New Roman" w:eastAsia="仿宋_GB2312"/>
          <w:sz w:val="28"/>
          <w:szCs w:val="28"/>
          <w:u w:val="single"/>
        </w:rPr>
      </w:pPr>
      <w:r>
        <w:rPr>
          <w:rFonts w:hint="eastAsia" w:ascii="Times New Roman" w:hAnsi="Times New Roman" w:eastAsia="仿宋_GB2312"/>
          <w:sz w:val="28"/>
          <w:szCs w:val="28"/>
        </w:rPr>
        <w:t>团队名称：</w:t>
      </w:r>
      <w:r>
        <w:rPr>
          <w:rFonts w:hint="eastAsia" w:ascii="Times New Roman" w:hAnsi="Times New Roman" w:eastAsia="仿宋_GB2312"/>
          <w:sz w:val="28"/>
          <w:szCs w:val="28"/>
          <w:u w:val="single"/>
        </w:rPr>
        <w:t xml:space="preserve"> 霍格沃茨</w:t>
      </w:r>
    </w:p>
    <w:p>
      <w:pPr>
        <w:spacing w:line="500" w:lineRule="exact"/>
        <w:ind w:left="2495"/>
        <w:jc w:val="left"/>
        <w:rPr>
          <w:rFonts w:hint="eastAsia" w:ascii="Times New Roman" w:hAnsi="Times New Roman" w:eastAsia="仿宋_GB2312"/>
          <w:sz w:val="30"/>
          <w:u w:val="single"/>
        </w:rPr>
      </w:pPr>
      <w:r>
        <w:rPr>
          <w:rFonts w:hint="eastAsia" w:ascii="Times New Roman" w:hAnsi="Times New Roman" w:eastAsia="仿宋_GB2312"/>
          <w:sz w:val="28"/>
          <w:szCs w:val="28"/>
        </w:rPr>
        <w:t>团队成员：</w:t>
      </w:r>
      <w:r>
        <w:rPr>
          <w:rFonts w:hint="eastAsia" w:ascii="Times New Roman" w:hAnsi="Times New Roman" w:eastAsia="仿宋_GB2312"/>
          <w:sz w:val="28"/>
          <w:szCs w:val="28"/>
          <w:u w:val="single"/>
        </w:rPr>
        <w:t>张烊彬、李盈松、汤智铖</w:t>
      </w:r>
    </w:p>
    <w:p>
      <w:pPr>
        <w:spacing w:line="500" w:lineRule="exact"/>
        <w:ind w:left="2495"/>
        <w:jc w:val="left"/>
        <w:rPr>
          <w:rFonts w:ascii="Times New Roman" w:hAnsi="Times New Roman" w:eastAsia="仿宋_GB2312"/>
          <w:sz w:val="28"/>
          <w:szCs w:val="28"/>
          <w:u w:val="single"/>
        </w:rPr>
      </w:pPr>
      <w:r>
        <w:rPr>
          <w:rFonts w:hint="eastAsia" w:ascii="Times New Roman" w:hAnsi="Times New Roman" w:eastAsia="仿宋_GB2312"/>
          <w:sz w:val="28"/>
          <w:szCs w:val="28"/>
        </w:rPr>
        <w:t>提交日期：</w:t>
      </w:r>
      <w:r>
        <w:rPr>
          <w:rFonts w:hint="eastAsia" w:ascii="Times New Roman" w:hAnsi="Times New Roman" w:eastAsia="仿宋_GB2312"/>
          <w:sz w:val="28"/>
          <w:szCs w:val="28"/>
          <w:u w:val="single"/>
        </w:rPr>
        <w:t>2025年5月25日</w:t>
      </w:r>
    </w:p>
    <w:p>
      <w:pPr>
        <w:spacing w:line="500" w:lineRule="exact"/>
        <w:rPr>
          <w:rFonts w:ascii="Times New Roman" w:hAnsi="Times New Roman" w:eastAsia="仿宋_GB2312"/>
          <w:sz w:val="28"/>
          <w:szCs w:val="28"/>
          <w:u w:val="single"/>
        </w:rPr>
      </w:pPr>
    </w:p>
    <w:p>
      <w:pPr>
        <w:pStyle w:val="18"/>
        <w:rPr>
          <w:sz w:val="44"/>
          <w:szCs w:val="44"/>
        </w:rPr>
      </w:pPr>
      <w:r>
        <w:rPr>
          <w:rFonts w:hint="eastAsia"/>
          <w:sz w:val="44"/>
          <w:szCs w:val="44"/>
        </w:rPr>
        <w:t>目  录</w:t>
      </w:r>
    </w:p>
    <w:p/>
    <w:p/>
    <w:p/>
    <w:p>
      <w:pPr>
        <w:pStyle w:val="14"/>
        <w:rPr>
          <w:b w:val="0"/>
        </w:rPr>
      </w:pPr>
      <w:r>
        <w:rPr>
          <w:rFonts w:hint="eastAsia"/>
          <w:b w:val="0"/>
        </w:rPr>
        <w:t>第一章</w:t>
      </w:r>
      <w:r>
        <w:rPr>
          <w:rFonts w:hint="eastAsia"/>
          <w:b w:val="0"/>
        </w:rPr>
        <w:tab/>
      </w:r>
      <w:r>
        <w:rPr>
          <w:rFonts w:hint="eastAsia"/>
          <w:b w:val="0"/>
        </w:rPr>
        <w:t>项目题目</w:t>
      </w:r>
      <w:r>
        <w:rPr>
          <w:rFonts w:hint="eastAsia"/>
          <w:b w:val="0"/>
        </w:rPr>
        <w:tab/>
      </w:r>
      <w:r>
        <w:rPr>
          <w:rFonts w:hint="eastAsia"/>
          <w:b w:val="0"/>
        </w:rPr>
        <w:t>3</w:t>
      </w:r>
    </w:p>
    <w:p>
      <w:pPr>
        <w:pStyle w:val="14"/>
        <w:rPr>
          <w:b w:val="0"/>
        </w:rPr>
      </w:pPr>
      <w:r>
        <w:rPr>
          <w:rFonts w:hint="eastAsia"/>
          <w:b w:val="0"/>
        </w:rPr>
        <w:t>第二章</w:t>
      </w:r>
      <w:r>
        <w:rPr>
          <w:rFonts w:hint="eastAsia"/>
          <w:b w:val="0"/>
        </w:rPr>
        <w:tab/>
      </w:r>
      <w:r>
        <w:rPr>
          <w:rFonts w:hint="eastAsia"/>
          <w:b w:val="0"/>
        </w:rPr>
        <w:t>项目摘要</w:t>
      </w:r>
      <w:r>
        <w:rPr>
          <w:rFonts w:hint="eastAsia"/>
          <w:b w:val="0"/>
        </w:rPr>
        <w:tab/>
      </w:r>
      <w:r>
        <w:rPr>
          <w:rFonts w:hint="eastAsia"/>
          <w:b w:val="0"/>
        </w:rPr>
        <w:t>3</w:t>
      </w:r>
    </w:p>
    <w:p>
      <w:pPr>
        <w:pStyle w:val="14"/>
        <w:rPr>
          <w:b w:val="0"/>
        </w:rPr>
      </w:pPr>
      <w:r>
        <w:rPr>
          <w:rFonts w:hint="eastAsia"/>
          <w:b w:val="0"/>
        </w:rPr>
        <w:t>第三章</w:t>
      </w:r>
      <w:r>
        <w:rPr>
          <w:rFonts w:hint="eastAsia"/>
          <w:b w:val="0"/>
        </w:rPr>
        <w:tab/>
      </w:r>
      <w:r>
        <w:rPr>
          <w:rFonts w:hint="eastAsia"/>
          <w:b w:val="0"/>
        </w:rPr>
        <w:t>项目背景与国内外研究现状</w:t>
      </w:r>
      <w:r>
        <w:rPr>
          <w:rFonts w:hint="eastAsia"/>
          <w:b w:val="0"/>
        </w:rPr>
        <w:tab/>
      </w:r>
      <w:r>
        <w:rPr>
          <w:rFonts w:hint="eastAsia"/>
          <w:b w:val="0"/>
        </w:rPr>
        <w:t>4</w:t>
      </w:r>
    </w:p>
    <w:p>
      <w:pPr>
        <w:pStyle w:val="14"/>
        <w:rPr>
          <w:b w:val="0"/>
        </w:rPr>
      </w:pPr>
      <w:r>
        <w:rPr>
          <w:rFonts w:hint="eastAsia"/>
          <w:b w:val="0"/>
        </w:rPr>
        <w:t>第四章</w:t>
      </w:r>
      <w:r>
        <w:rPr>
          <w:rFonts w:hint="eastAsia"/>
          <w:b w:val="0"/>
        </w:rPr>
        <w:tab/>
      </w:r>
      <w:r>
        <w:rPr>
          <w:rFonts w:hint="eastAsia"/>
          <w:b w:val="0"/>
        </w:rPr>
        <w:t>项目研究内容与技术路线</w:t>
      </w:r>
      <w:r>
        <w:rPr>
          <w:rFonts w:hint="eastAsia"/>
          <w:b w:val="0"/>
        </w:rPr>
        <w:tab/>
      </w:r>
      <w:r>
        <w:rPr>
          <w:rFonts w:hint="eastAsia"/>
          <w:b w:val="0"/>
        </w:rPr>
        <w:t>7</w:t>
      </w:r>
    </w:p>
    <w:p>
      <w:pPr>
        <w:pStyle w:val="14"/>
        <w:rPr>
          <w:b w:val="0"/>
        </w:rPr>
      </w:pPr>
      <w:r>
        <w:rPr>
          <w:rFonts w:hint="eastAsia"/>
          <w:b w:val="0"/>
        </w:rPr>
        <w:t>第五章</w:t>
      </w:r>
      <w:r>
        <w:rPr>
          <w:rFonts w:hint="eastAsia"/>
          <w:b w:val="0"/>
        </w:rPr>
        <w:tab/>
      </w:r>
      <w:r>
        <w:rPr>
          <w:rFonts w:hint="eastAsia"/>
          <w:b w:val="0"/>
        </w:rPr>
        <w:t>项目创新点</w:t>
      </w:r>
      <w:r>
        <w:rPr>
          <w:rFonts w:hint="eastAsia"/>
          <w:b w:val="0"/>
        </w:rPr>
        <w:tab/>
      </w:r>
      <w:r>
        <w:rPr>
          <w:rFonts w:hint="eastAsia"/>
          <w:b w:val="0"/>
        </w:rPr>
        <w:t>11</w:t>
      </w:r>
    </w:p>
    <w:p>
      <w:pPr>
        <w:pStyle w:val="14"/>
        <w:rPr>
          <w:b w:val="0"/>
        </w:rPr>
      </w:pPr>
      <w:r>
        <w:rPr>
          <w:rFonts w:hint="eastAsia"/>
          <w:b w:val="0"/>
        </w:rPr>
        <w:t>第六章</w:t>
      </w:r>
      <w:r>
        <w:rPr>
          <w:rFonts w:hint="eastAsia"/>
          <w:b w:val="0"/>
        </w:rPr>
        <w:tab/>
      </w:r>
      <w:r>
        <w:rPr>
          <w:rFonts w:hint="eastAsia"/>
          <w:b w:val="0"/>
        </w:rPr>
        <w:t>应用前景与社会价值</w:t>
      </w:r>
      <w:r>
        <w:rPr>
          <w:rFonts w:hint="eastAsia"/>
          <w:b w:val="0"/>
        </w:rPr>
        <w:tab/>
      </w:r>
      <w:r>
        <w:rPr>
          <w:rFonts w:hint="eastAsia"/>
          <w:b w:val="0"/>
        </w:rPr>
        <w:t>13</w:t>
      </w:r>
    </w:p>
    <w:p>
      <w:pPr>
        <w:pStyle w:val="14"/>
        <w:rPr>
          <w:b w:val="0"/>
        </w:rPr>
      </w:pPr>
      <w:r>
        <w:rPr>
          <w:rFonts w:hint="eastAsia"/>
          <w:b w:val="0"/>
        </w:rPr>
        <w:t>第七章</w:t>
      </w:r>
      <w:r>
        <w:rPr>
          <w:rFonts w:hint="eastAsia"/>
          <w:b w:val="0"/>
        </w:rPr>
        <w:tab/>
      </w:r>
      <w:r>
        <w:rPr>
          <w:rFonts w:hint="eastAsia"/>
          <w:b w:val="0"/>
        </w:rPr>
        <w:t>存在问题与改进方向</w:t>
      </w:r>
      <w:r>
        <w:rPr>
          <w:rFonts w:hint="eastAsia"/>
          <w:b w:val="0"/>
        </w:rPr>
        <w:tab/>
      </w:r>
      <w:r>
        <w:rPr>
          <w:rFonts w:hint="eastAsia"/>
          <w:b w:val="0"/>
        </w:rPr>
        <w:t>15</w:t>
      </w:r>
    </w:p>
    <w:p>
      <w:pPr>
        <w:ind w:right="844"/>
        <w:rPr>
          <w:b/>
          <w:bCs/>
        </w:rPr>
      </w:pPr>
    </w:p>
    <w:p>
      <w:pPr>
        <w:ind w:right="844"/>
        <w:rPr>
          <w:b/>
          <w:bCs/>
        </w:rPr>
      </w:pPr>
    </w:p>
    <w:p>
      <w:pPr>
        <w:ind w:right="844"/>
        <w:rPr>
          <w:b/>
          <w:bCs/>
        </w:rPr>
      </w:pPr>
    </w:p>
    <w:p>
      <w:pPr>
        <w:ind w:right="844"/>
        <w:rPr>
          <w:b/>
          <w:bCs/>
        </w:rPr>
      </w:pPr>
    </w:p>
    <w:p>
      <w:pPr>
        <w:ind w:right="844"/>
        <w:rPr>
          <w:b/>
          <w:bCs/>
        </w:rPr>
      </w:pPr>
    </w:p>
    <w:p>
      <w:pPr>
        <w:ind w:right="844"/>
        <w:rPr>
          <w:b/>
          <w:bCs/>
        </w:rPr>
      </w:pPr>
    </w:p>
    <w:p>
      <w:pPr>
        <w:ind w:right="844"/>
        <w:rPr>
          <w:b/>
          <w:bCs/>
        </w:rPr>
      </w:pPr>
    </w:p>
    <w:p>
      <w:pPr>
        <w:ind w:right="844"/>
        <w:rPr>
          <w:b/>
          <w:bCs/>
        </w:rPr>
      </w:pPr>
    </w:p>
    <w:p>
      <w:pPr>
        <w:ind w:right="844"/>
        <w:rPr>
          <w:b/>
          <w:bCs/>
        </w:rPr>
      </w:pPr>
    </w:p>
    <w:p>
      <w:pPr>
        <w:ind w:right="844"/>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sz w:val="32"/>
          <w:szCs w:val="32"/>
        </w:rPr>
      </w:pPr>
      <w:r>
        <w:rPr>
          <w:rFonts w:hint="eastAsia"/>
          <w:b/>
          <w:bCs/>
          <w:sz w:val="32"/>
          <w:szCs w:val="32"/>
        </w:rPr>
        <w:t>一、项目题目</w:t>
      </w:r>
    </w:p>
    <w:p>
      <w:pPr>
        <w:rPr>
          <w:b/>
          <w:bCs/>
          <w:sz w:val="28"/>
          <w:szCs w:val="28"/>
        </w:rPr>
      </w:pPr>
      <w:r>
        <w:rPr>
          <w:rFonts w:hint="eastAsia"/>
          <w:b/>
          <w:bCs/>
          <w:sz w:val="28"/>
          <w:szCs w:val="28"/>
        </w:rPr>
        <w:t>奶立方-MilkMatrix——智能奶粉冲调中心</w:t>
      </w:r>
    </w:p>
    <w:p>
      <w:pPr>
        <w:rPr>
          <w:rFonts w:hint="eastAsia"/>
          <w:b/>
          <w:bCs/>
          <w:sz w:val="24"/>
        </w:rPr>
      </w:pPr>
    </w:p>
    <w:p>
      <w:pPr>
        <w:rPr>
          <w:sz w:val="22"/>
          <w:szCs w:val="28"/>
        </w:rPr>
      </w:pPr>
      <w:r>
        <w:rPr>
          <w:rFonts w:hint="eastAsia"/>
          <w:b/>
          <w:bCs/>
          <w:sz w:val="32"/>
          <w:szCs w:val="32"/>
        </w:rPr>
        <w:t>二、项目摘要</w:t>
      </w:r>
    </w:p>
    <w:p>
      <w:pPr>
        <w:ind w:firstLine="480" w:firstLineChars="200"/>
        <w:rPr>
          <w:rFonts w:hint="eastAsia" w:asciiTheme="minorEastAsia" w:hAnsiTheme="minorEastAsia"/>
          <w:sz w:val="24"/>
          <w:szCs w:val="32"/>
        </w:rPr>
      </w:pPr>
      <w:r>
        <w:rPr>
          <w:rFonts w:asciiTheme="minorEastAsia" w:hAnsiTheme="minorEastAsia"/>
          <w:sz w:val="24"/>
          <w:szCs w:val="32"/>
        </w:rPr>
        <w:t>“</w:t>
      </w:r>
      <w:r>
        <w:rPr>
          <w:rFonts w:hint="eastAsia" w:asciiTheme="minorEastAsia" w:hAnsiTheme="minorEastAsia"/>
          <w:sz w:val="24"/>
          <w:szCs w:val="32"/>
        </w:rPr>
        <w:t>奶立方：智能奶粉冲调中心"项目致力于研发一款面向现代家庭育婴需求的全自动奶粉冲调机器人系统。随着生活节奏加快和育儿标准日益精细化，传统人工冲调方式存在的配比不准、水温难以掌控等问题愈发凸显。本项目创新性地融合智能控制技术、精准温控系统和无菌化设计，打造出一款能够完美解决这些痛点的家居化智能设备。该系统采用高精度称重模块配合视觉识别技术，可自动识别不同品牌奶粉并精准匹配对应的冲调比例，误差严格控制在±1%以内，同时支持个性化浓度调节以满足特殊营养需求。在温控方面，通过PID算法和即热式加热技术的结合，确保水温稳定维持在40°C±1°C的最佳冲调温度，既保证了奶粉营养不流失，又通过双重防烫保护机制确保使用安全。</w:t>
      </w:r>
    </w:p>
    <w:p>
      <w:pPr>
        <w:ind w:firstLine="480" w:firstLineChars="200"/>
        <w:rPr>
          <w:rFonts w:hint="eastAsia" w:asciiTheme="minorEastAsia" w:hAnsiTheme="minorEastAsia"/>
          <w:sz w:val="24"/>
          <w:szCs w:val="32"/>
        </w:rPr>
      </w:pPr>
      <w:r>
        <w:rPr>
          <w:rFonts w:hint="eastAsia" w:asciiTheme="minorEastAsia" w:hAnsiTheme="minorEastAsia"/>
          <w:sz w:val="24"/>
          <w:szCs w:val="32"/>
        </w:rPr>
        <w:t>奶立方智能冲调系统在卫生安全方面同样表现出色，全系统采用食品级304不锈钢材质，配合UV-C紫外线杀菌模块，从源头杜绝二次污染。创新的自清洁功能可一键清除管路残留，让每一次冲调都洁净如新。人性化的人机交互设计包括触控屏操作和手机App远程控制，支持语音指令输入，内置的智能库存监测功能还能及时提醒家长补充奶粉。该设备特别设计了紧凑的家居一体化外形，既可嵌入式安装也能独立摆放，体积仅相当于传统电水壶的1.5倍，完美适配现代家居空间。</w:t>
      </w:r>
    </w:p>
    <w:p>
      <w:pPr>
        <w:ind w:firstLine="480" w:firstLineChars="200"/>
        <w:rPr>
          <w:rFonts w:asciiTheme="minorEastAsia" w:hAnsiTheme="minorEastAsia"/>
          <w:sz w:val="24"/>
          <w:szCs w:val="32"/>
        </w:rPr>
      </w:pPr>
      <w:r>
        <w:rPr>
          <w:rFonts w:hint="eastAsia" w:asciiTheme="minorEastAsia" w:hAnsiTheme="minorEastAsia"/>
          <w:sz w:val="24"/>
          <w:szCs w:val="32"/>
        </w:rPr>
        <w:t>本项目的创新价值不仅体现在技术层面，更在于其多场景适用性。通过云端数据库持续更新，系统能够兼容市面上绝大多数奶粉品牌。项目团队已完成首代样机的搭建和测试，并展现出显著的集成性、智能性、稳定性。目前该项目已获得足够的基金支持，未来还将拓展至</w:t>
      </w:r>
      <w:r>
        <w:rPr>
          <w:rFonts w:hint="eastAsia" w:asciiTheme="minorEastAsia" w:hAnsiTheme="minorEastAsia"/>
          <w:sz w:val="24"/>
          <w:szCs w:val="32"/>
          <w:lang w:val="en-US" w:eastAsia="zh-CN"/>
        </w:rPr>
        <w:t>中老年</w:t>
      </w:r>
      <w:r>
        <w:rPr>
          <w:rFonts w:hint="eastAsia" w:asciiTheme="minorEastAsia" w:hAnsiTheme="minorEastAsia"/>
          <w:sz w:val="24"/>
          <w:szCs w:val="32"/>
        </w:rPr>
        <w:t>营养粉市场，具有广阔的应用前景和商业价值。</w:t>
      </w:r>
    </w:p>
    <w:p>
      <w:pPr>
        <w:ind w:firstLine="420" w:firstLineChars="200"/>
        <w:rPr>
          <w:rFonts w:hint="eastAsia"/>
        </w:rPr>
      </w:pPr>
    </w:p>
    <w:p>
      <w:pPr>
        <w:rPr>
          <w:b/>
          <w:bCs/>
          <w:sz w:val="32"/>
          <w:szCs w:val="32"/>
        </w:rPr>
      </w:pPr>
      <w:r>
        <w:rPr>
          <w:rFonts w:hint="eastAsia"/>
          <w:b/>
          <w:bCs/>
          <w:sz w:val="32"/>
          <w:szCs w:val="32"/>
        </w:rPr>
        <w:t>三、项目背景与国内外研究现状</w:t>
      </w:r>
    </w:p>
    <w:p>
      <w:pPr>
        <w:rPr>
          <w:b/>
          <w:bCs/>
          <w:sz w:val="30"/>
          <w:szCs w:val="30"/>
        </w:rPr>
      </w:pPr>
      <w:r>
        <w:rPr>
          <w:rFonts w:hint="eastAsia"/>
          <w:b/>
          <w:bCs/>
          <w:sz w:val="30"/>
          <w:szCs w:val="30"/>
        </w:rPr>
        <w:t>3.1项目背景</w:t>
      </w:r>
    </w:p>
    <w:p>
      <w:pPr>
        <w:rPr>
          <w:rFonts w:hint="eastAsia"/>
          <w:b/>
          <w:bCs/>
          <w:sz w:val="28"/>
          <w:szCs w:val="28"/>
        </w:rPr>
      </w:pPr>
      <w:r>
        <w:rPr>
          <w:rFonts w:hint="eastAsia"/>
          <w:b/>
          <w:bCs/>
          <w:sz w:val="28"/>
          <w:szCs w:val="28"/>
        </w:rPr>
        <w:t>3.1.1背景综述</w:t>
      </w:r>
    </w:p>
    <w:p>
      <w:pPr>
        <w:ind w:firstLine="480" w:firstLineChars="200"/>
        <w:rPr>
          <w:rFonts w:asciiTheme="minorEastAsia" w:hAnsiTheme="minorEastAsia"/>
          <w:sz w:val="24"/>
          <w:szCs w:val="32"/>
        </w:rPr>
      </w:pPr>
      <w:r>
        <w:rPr>
          <w:rFonts w:hint="eastAsia" w:asciiTheme="minorEastAsia" w:hAnsiTheme="minorEastAsia"/>
          <w:sz w:val="24"/>
          <w:szCs w:val="32"/>
        </w:rPr>
        <w:t>当代育儿实践中，婴幼儿奶粉冲调作为日常高频刚需环节，其精准性、便捷性与卫生安全标准日益受到家庭与社会的高度关注。传统人工冲调方式长期面临三大核心痛点：一是依赖家长经验判断导致配比失准，相关研究表明超过60%的家庭存在奶粉浓度不当问题，直接影响婴幼儿营养摄入均衡；二是水温控制困难，多数家庭采用经验性"手腕试温"方法，难以稳定维持在40-45℃的理想区间，高温易破坏奶粉中热敏性营养素，低温则可能引发消化不良；三是操作流程繁琐，夜间喂养时尤为突出，世界卫生组织统计显示新生儿父母平均每天损失2.5小时睡眠时间用于冲调准备。现有解决方案如恒温壶、定量奶粉盒等单功能产品仅能解决局部问题，市场上亟需一套集成化、智能化的全自动冲调系统。在此背景下，本团队提出"奶立方"项目，旨在通过机电一体化、人工智能与工业设计的深度融合，重构奶粉冲调场景的技术范式。</w:t>
      </w:r>
    </w:p>
    <w:p>
      <w:pPr>
        <w:rPr>
          <w:b/>
          <w:bCs/>
          <w:sz w:val="28"/>
          <w:szCs w:val="28"/>
        </w:rPr>
      </w:pPr>
      <w:r>
        <w:rPr>
          <w:rFonts w:hint="eastAsia"/>
          <w:b/>
          <w:bCs/>
          <w:sz w:val="28"/>
          <w:szCs w:val="28"/>
        </w:rPr>
        <w:t>3.1.1</w:t>
      </w:r>
      <w:r>
        <w:rPr>
          <w:b/>
          <w:bCs/>
          <w:sz w:val="28"/>
          <w:szCs w:val="28"/>
        </w:rPr>
        <w:t>市场需求端分析</w:t>
      </w:r>
    </w:p>
    <w:p>
      <w:pPr>
        <w:ind w:firstLine="480" w:firstLineChars="200"/>
        <w:rPr>
          <w:rFonts w:hint="eastAsia" w:asciiTheme="minorEastAsia" w:hAnsiTheme="minorEastAsia"/>
          <w:sz w:val="24"/>
          <w:szCs w:val="32"/>
        </w:rPr>
      </w:pPr>
      <w:r>
        <w:rPr>
          <w:rFonts w:asciiTheme="minorEastAsia" w:hAnsiTheme="minorEastAsia"/>
          <w:sz w:val="24"/>
          <w:szCs w:val="32"/>
        </w:rPr>
        <w:t>中国母婴市场规模已达4.9万亿元，其中智能育儿设备年增长率保持在28%以上，反映出消费升级背景下家长对科技育儿的强烈需求。专项调研显示，92.6%的0-3岁婴幼儿家长愿意为自动化冲调设备支付溢价，核心诉求集中在精准营养（43%）、操作便捷（32%）和杀菌安全（25%）三个维度。值得注意的是，随着三孩政策实施和高知父母比例提升，市场需求呈现明显的技术敏感特征：一线城市家庭对物联网功能需求突出，二三线城市则更关注设备可靠性和性价比。此外，医疗级营养配给场景如早产儿特医奶粉冲调、老年流食制备等延伸市场潜力巨大，目前尚未出现成熟解决方案。这些需求特征为"奶立方"产品的功能定位提供了明确导向——必须兼具临床级精度与家电级易用性，同时预留足够的场景扩展空间。</w:t>
      </w:r>
    </w:p>
    <w:p>
      <w:pPr>
        <w:rPr>
          <w:b/>
          <w:bCs/>
          <w:sz w:val="30"/>
          <w:szCs w:val="30"/>
        </w:rPr>
      </w:pPr>
      <w:r>
        <w:rPr>
          <w:rFonts w:hint="eastAsia"/>
          <w:b/>
          <w:bCs/>
          <w:sz w:val="30"/>
          <w:szCs w:val="30"/>
        </w:rPr>
        <w:t>3.2.国内外研究现状</w:t>
      </w:r>
    </w:p>
    <w:p>
      <w:pPr>
        <w:rPr>
          <w:b/>
          <w:bCs/>
          <w:sz w:val="28"/>
          <w:szCs w:val="28"/>
        </w:rPr>
      </w:pPr>
      <w:r>
        <w:rPr>
          <w:rFonts w:hint="eastAsia"/>
          <w:b/>
          <w:bCs/>
          <w:sz w:val="28"/>
          <w:szCs w:val="28"/>
        </w:rPr>
        <w:t>3.2.1国际技术发展态势</w:t>
      </w:r>
    </w:p>
    <w:p>
      <w:pPr>
        <w:ind w:firstLine="480" w:firstLineChars="200"/>
        <w:rPr>
          <w:rFonts w:asciiTheme="minorEastAsia" w:hAnsiTheme="minorEastAsia"/>
          <w:sz w:val="24"/>
          <w:szCs w:val="32"/>
        </w:rPr>
      </w:pPr>
      <w:r>
        <w:rPr>
          <w:rFonts w:hint="eastAsia" w:asciiTheme="minorEastAsia" w:hAnsiTheme="minorEastAsia"/>
          <w:sz w:val="24"/>
          <w:szCs w:val="32"/>
        </w:rPr>
        <w:t>全球范围内，婴幼儿食品自动化设备研发呈现"医疗级技术下沉"与"家电智能化升级"双轨并进趋势。瑞士Nestlé集团2021年推出的BabyNes系统首次实现胶囊奶粉自动冲调，其无菌封装技术和瞬时加热模块达到制药标准，但受限于封闭生态系统（仅适配特定胶囊）和高昂成本（设备售价399美元），市场渗透率不足5%。日本贝亲开发的SmartKettle通过红外光谱分析奶粉成分，实现自适应配比，但其核心传感器成本制约了量产可能。值得关注的是，美国Yoomi公司创新采用相变材料储热技术，在无电源情况下维持水温6小时，为移动场景提供新思路。国际领先项目普遍存在两大共性：一是强化卫生安全设计，如法国Beaba设备采用全拆卸可灭菌结构；二是注重人机交互体验，韩国Mumzworld产品已实现AR操作指引和喂养数据追踪。这些技术路径为"奶立方"研发提供了重要参考，同时也凸显出突破专利壁垒、实现成本可控的产业化挑战。</w:t>
      </w:r>
    </w:p>
    <w:p>
      <w:pPr>
        <w:ind w:firstLine="560" w:firstLineChars="200"/>
        <w:rPr>
          <w:b/>
          <w:bCs/>
          <w:sz w:val="28"/>
          <w:szCs w:val="28"/>
        </w:rPr>
      </w:pPr>
      <w:r>
        <w:rPr>
          <w:rFonts w:hint="eastAsia"/>
          <w:b/>
          <w:bCs/>
          <w:sz w:val="28"/>
          <w:szCs w:val="28"/>
        </w:rPr>
        <w:t>3.2.2国内技术进展与瓶颈</w:t>
      </w:r>
    </w:p>
    <w:p>
      <w:pPr>
        <w:ind w:firstLine="480" w:firstLineChars="200"/>
        <w:rPr>
          <w:rFonts w:asciiTheme="minorEastAsia" w:hAnsiTheme="minorEastAsia"/>
          <w:sz w:val="24"/>
          <w:szCs w:val="32"/>
        </w:rPr>
      </w:pPr>
      <w:r>
        <w:rPr>
          <w:rFonts w:hint="eastAsia" w:asciiTheme="minorEastAsia" w:hAnsiTheme="minorEastAsia"/>
          <w:sz w:val="24"/>
          <w:szCs w:val="32"/>
        </w:rPr>
        <w:t>中国在母婴智能硬件领域已形成珠三角、长三角两大产业集聚区，但核心技术创新能力仍显不足。目前市面主流产品如小白熊恒温壶、海尔奶粉机等，主要聚焦基础功能实现：前者依赖机械式温控器，精度仅达±3℃；后者虽实现自动出粉但缺乏品牌适配能力。学术层面，浙江大学团队开发的视觉称重系统将粉剂计量误差缩小至0.5g，中科院合肥物质研究院的瞬热技术可使水温波动控制在±0.8℃，但这些实验室成果尚未有效转化。行业痛点集中表现为：关键传感器依赖进口（如瑞士METTLER TOLEDO称重模块），导致整机成本居高不下；冲调算法单一，无法适配200余种市售奶粉的物性差异；杀菌方案多采用沸水冲洗，能耗高且效果有限。更值得注意的是，现有产品普遍忽视中国家庭特有的使用场景——如祖辈照料时的简易操作需求、租房环境下的紧凑空间要求等，这些本土化问题的解决亟待跨学科协作攻关。</w:t>
      </w:r>
    </w:p>
    <w:p>
      <w:pPr>
        <w:rPr>
          <w:b/>
          <w:bCs/>
          <w:sz w:val="30"/>
          <w:szCs w:val="30"/>
        </w:rPr>
      </w:pPr>
      <w:r>
        <w:rPr>
          <w:rFonts w:hint="eastAsia"/>
          <w:b/>
          <w:bCs/>
          <w:sz w:val="30"/>
          <w:szCs w:val="30"/>
        </w:rPr>
        <w:t>3.3.学科交叉创新需求</w:t>
      </w:r>
    </w:p>
    <w:p>
      <w:pPr>
        <w:ind w:firstLine="480" w:firstLineChars="200"/>
        <w:rPr>
          <w:rFonts w:asciiTheme="minorEastAsia" w:hAnsiTheme="minorEastAsia"/>
          <w:sz w:val="24"/>
          <w:szCs w:val="32"/>
        </w:rPr>
      </w:pPr>
      <w:r>
        <w:rPr>
          <w:rFonts w:hint="eastAsia" w:asciiTheme="minorEastAsia" w:hAnsiTheme="minorEastAsia"/>
          <w:sz w:val="24"/>
          <w:szCs w:val="32"/>
        </w:rPr>
        <w:t>破解当前技术困局需要深度融合机械工程、食品科学、微生物学、工业设计等多学科知识体系。在机械传动领域，如何设计兼顾精度与可靠性的粉剂分配机构，涉及粉末流变学特性研究；温控系统优化需结合传热学理论与PID算法改进，这对热力学建模提出新要求。材料方面，食品接触级抗菌材料的选用直接影响设备使用寿命，需要材料科学与微生物学的交叉验证。更前沿的挑战在于智能算法的开发：通过机器学习构建奶粉品牌识别模型，需计算机视觉与光谱分析技术协同；建立动态冲调参数数据库，则依赖云计算与营养学知识的结合。用户体验维度，人机工程学设计需要心理学与交互设计的双重支撑，特别是在多代际用户界面适配方面。</w:t>
      </w:r>
    </w:p>
    <w:p>
      <w:pPr>
        <w:ind w:firstLine="480" w:firstLineChars="200"/>
        <w:rPr>
          <w:rFonts w:asciiTheme="minorEastAsia" w:hAnsiTheme="minorEastAsia"/>
          <w:sz w:val="24"/>
          <w:szCs w:val="32"/>
        </w:rPr>
      </w:pPr>
    </w:p>
    <w:p>
      <w:pPr>
        <w:ind w:firstLine="480" w:firstLineChars="200"/>
        <w:rPr>
          <w:rFonts w:hint="eastAsia" w:asciiTheme="minorEastAsia" w:hAnsiTheme="minorEastAsia"/>
          <w:sz w:val="24"/>
          <w:szCs w:val="32"/>
        </w:rPr>
      </w:pPr>
    </w:p>
    <w:p>
      <w:pPr>
        <w:rPr>
          <w:b/>
          <w:bCs/>
          <w:sz w:val="32"/>
          <w:szCs w:val="32"/>
        </w:rPr>
      </w:pPr>
      <w:r>
        <w:rPr>
          <w:rFonts w:hint="eastAsia"/>
          <w:b/>
          <w:bCs/>
          <w:sz w:val="32"/>
          <w:szCs w:val="32"/>
        </w:rPr>
        <w:t>四、</w:t>
      </w:r>
      <w:bookmarkStart w:id="1" w:name="_Hlk197637548"/>
      <w:r>
        <w:rPr>
          <w:rFonts w:hint="eastAsia"/>
          <w:b/>
          <w:bCs/>
          <w:sz w:val="32"/>
          <w:szCs w:val="32"/>
        </w:rPr>
        <w:t>项目研究内容与技术路线</w:t>
      </w:r>
      <w:bookmarkEnd w:id="1"/>
    </w:p>
    <w:p>
      <w:pPr>
        <w:ind w:firstLine="480" w:firstLineChars="200"/>
        <w:rPr>
          <w:rFonts w:hint="eastAsia" w:asciiTheme="minorEastAsia" w:hAnsiTheme="minorEastAsia"/>
          <w:sz w:val="24"/>
          <w:szCs w:val="32"/>
        </w:rPr>
      </w:pPr>
      <w:r>
        <w:rPr>
          <w:rFonts w:hint="eastAsia" w:asciiTheme="minorEastAsia" w:hAnsiTheme="minorEastAsia"/>
          <w:sz w:val="24"/>
          <w:szCs w:val="32"/>
        </w:rPr>
        <w:t>"奶立方"智能奶粉冲调中心的核心研究目标在于构建一套高精度、全自动化、多场景适配的智能营养冲调系统。该项目围绕家庭健康管理需求，重点突破传统奶粉冲调设备计量不准、操作繁琐、卫生隐患大等痛点，通过机电一体化设计、智能控制算法优化以及模块化系统集成，实现从奶粉计量、水温调节、混合搅拌到自清洁的全流程自动化。研究内容主要涵盖精密进料模块、奶瓶直径自适应模块、高速带传动系统、压盖机构等关键硬件设计，以及基于自研控制算法的软件系统优化。技术路线上采用"需求驱动研发+仿真验证先行+样机迭代优化"的工程化开发模式，确保系统在可靠性、精度和用户体验等方面达到行业领先水平。</w:t>
      </w:r>
    </w:p>
    <w:p>
      <w:pPr>
        <w:rPr>
          <w:rFonts w:hint="eastAsia"/>
          <w:b/>
          <w:bCs/>
          <w:sz w:val="30"/>
          <w:szCs w:val="30"/>
        </w:rPr>
      </w:pPr>
      <w:r>
        <w:rPr>
          <w:rFonts w:hint="eastAsia"/>
          <w:b/>
          <w:bCs/>
          <w:sz w:val="30"/>
          <w:szCs w:val="30"/>
        </w:rPr>
        <w:t>4.1硬件系统设计</w:t>
      </w:r>
    </w:p>
    <w:p>
      <w:pPr>
        <w:widowControl/>
        <w:jc w:val="left"/>
        <w:rPr>
          <w:sz w:val="24"/>
        </w:rPr>
      </w:pPr>
      <w:r>
        <w:rPr>
          <w:rFonts w:hint="eastAsia"/>
          <w:b/>
          <w:bCs/>
          <w:sz w:val="28"/>
          <w:szCs w:val="28"/>
        </w:rPr>
        <w:t>4.1.1精密进料模块</w:t>
      </w:r>
      <w:r>
        <w:rPr>
          <w:rFonts w:ascii="HYZhongHeiKW" w:hAnsi="HYZhongHeiKW" w:eastAsia="HYZhongHeiKW" w:cs="HYZhongHeiKW"/>
          <w:color w:val="000000"/>
          <w:kern w:val="0"/>
          <w:sz w:val="24"/>
          <w:lang w:bidi="ar"/>
        </w:rPr>
        <w:t xml:space="preserve"> </w:t>
      </w:r>
    </w:p>
    <w:p>
      <w:pPr>
        <w:ind w:firstLine="480" w:firstLineChars="200"/>
        <w:jc w:val="left"/>
      </w:pPr>
      <w:r>
        <w:rPr>
          <w:rFonts w:hint="eastAsia" w:asciiTheme="minorEastAsia" w:hAnsiTheme="minorEastAsia"/>
          <w:sz w:val="24"/>
          <w:szCs w:val="32"/>
        </w:rPr>
        <w:t>进料模块采用蜗轮蜗杆+螺旋推进的复合传动结构，确保奶粉定量精度控制在±0.1g以内。蜗轮蜗杆减速机构（传动比30:1）搭配步进电机驱动，实现低速高扭矩输出，有效避免奶粉因挤压结块导致的下料不均问题。螺旋推进器采用食品级POM材质，表面经纳米涂层处理以降低摩擦系数，结合动态补偿算法实时修正进给量，确保不同品牌奶粉的流动性差异不影响计量精度。进料口配置高灵敏度称重传感器（0.01g分辨率），形成闭环反馈控制，使系统在连续工作时仍能保持稳定性。</w:t>
      </w:r>
    </w:p>
    <w:p>
      <w:pPr>
        <w:widowControl/>
        <w:jc w:val="left"/>
        <w:rPr>
          <w:b/>
          <w:bCs/>
          <w:sz w:val="28"/>
          <w:szCs w:val="28"/>
        </w:rPr>
      </w:pPr>
      <w:r>
        <w:rPr>
          <w:rFonts w:hint="eastAsia"/>
          <w:b/>
          <w:bCs/>
          <w:sz w:val="28"/>
          <w:szCs w:val="28"/>
        </w:rPr>
        <w:t>4.1.2奶瓶直径自适应模块</w:t>
      </w:r>
    </w:p>
    <w:p>
      <w:pPr>
        <w:ind w:firstLine="480" w:firstLineChars="200"/>
        <w:jc w:val="left"/>
        <w:rPr>
          <w:rFonts w:hint="eastAsia" w:asciiTheme="minorEastAsia" w:hAnsiTheme="minorEastAsia"/>
          <w:sz w:val="24"/>
          <w:szCs w:val="32"/>
        </w:rPr>
      </w:pPr>
      <w:r>
        <w:rPr>
          <w:rFonts w:hint="eastAsia" w:asciiTheme="minorEastAsia" w:hAnsiTheme="minorEastAsia"/>
          <w:sz w:val="24"/>
          <w:szCs w:val="32"/>
        </w:rPr>
        <w:t>针对市售奶瓶口径不一的问题（标准口径50mm-85mm），设计了一套多自由度连杆自适应机构。该模块由伺服电机驱动四连杆机构展开，通过压力传感器检测夹持力，确保对不同直径奶瓶均能实现稳定对中。机械结构采用铝合金轻量化设计，结合橡胶缓冲垫避免划伤瓶身，自适应调节时间控制在2秒内。模块内置光学传感器，可自动识别奶瓶高度并调整出液口位置，防止冲调过程中液体飞溅</w:t>
      </w:r>
    </w:p>
    <w:p>
      <w:pPr>
        <w:widowControl/>
        <w:jc w:val="left"/>
        <w:rPr>
          <w:b/>
          <w:bCs/>
          <w:sz w:val="28"/>
          <w:szCs w:val="28"/>
        </w:rPr>
      </w:pPr>
      <w:r>
        <w:rPr>
          <w:rFonts w:hint="eastAsia"/>
          <w:b/>
          <w:bCs/>
          <w:sz w:val="28"/>
          <w:szCs w:val="28"/>
        </w:rPr>
        <w:t>4.1.3高速带传动系统</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混合搅拌模块采用聚氨酯同步带+直流无刷电机的动力传输方案，相比传统齿轮传动，带传动具备低噪音、免润滑、抗冲击等优势。同步带轮采用弧形齿设计，降低高速运转时的振动噪声，传动效率达95%以上。电机驱动采用PID速度闭环控制，确保搅拌桨在300-1500rpm范围内精准调速，适应不同奶粉的溶解需求。</w:t>
      </w:r>
    </w:p>
    <w:p>
      <w:pPr>
        <w:widowControl/>
        <w:jc w:val="left"/>
        <w:rPr>
          <w:rFonts w:hint="eastAsia"/>
          <w:b/>
          <w:bCs/>
          <w:sz w:val="28"/>
          <w:szCs w:val="28"/>
        </w:rPr>
      </w:pPr>
      <w:r>
        <w:rPr>
          <w:rFonts w:hint="eastAsia"/>
          <w:b/>
          <w:bCs/>
          <w:sz w:val="28"/>
          <w:szCs w:val="28"/>
        </w:rPr>
        <w:t>4.1.4</w:t>
      </w:r>
      <w:r>
        <w:rPr>
          <w:b/>
          <w:bCs/>
          <w:sz w:val="28"/>
          <w:szCs w:val="28"/>
        </w:rPr>
        <w:t>压盖机构</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为确保冲调后的密封性，压盖模块采用滚珠丝杆+直线导轨的高精度直线运动机构，由步进电机驱动，压紧力可编程调节（5N-20N）。滚珠丝杆（导程5mm）配合消隙螺母，确保重复定位精度±0.05mm，避免因错位导致的密封不严问题。压盖头采用磁吸快拆设计，适配不同规格奶瓶盖，并集成霍尔传感器检测盖体到位状态，防止误操作。</w:t>
      </w:r>
    </w:p>
    <w:p>
      <w:pPr>
        <w:widowControl/>
        <w:jc w:val="left"/>
        <w:rPr>
          <w:b/>
          <w:bCs/>
          <w:sz w:val="28"/>
          <w:szCs w:val="28"/>
        </w:rPr>
      </w:pPr>
      <w:r>
        <w:rPr>
          <w:rFonts w:hint="eastAsia"/>
          <w:b/>
          <w:bCs/>
          <w:sz w:val="28"/>
          <w:szCs w:val="28"/>
        </w:rPr>
        <w:t>4.1.5</w:t>
      </w:r>
      <w:r>
        <w:rPr>
          <w:b/>
          <w:bCs/>
          <w:sz w:val="28"/>
          <w:szCs w:val="28"/>
        </w:rPr>
        <w:t>电路板集成化设计与统筹化布线</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为提升系统可靠性，主控板采用多层PCB堆叠设计，集成STM32H743微控制器（双核Cortex-M7/M4）、电机驱动模块（DRV8847）、Wi-Fi/蓝牙通信芯片（ESP32-C3）及高精度ADC采样电路（24位Σ-Δ型）。电源管理模块支持12V/5V/3.3V多电压输出，并具备过流、过压保护功能。布线优化方面，运用蛇形走线+屏蔽层降低高频干扰，关键信号线差分传输以提高抗噪能力。整机线束采用模块化快插接口，便于维护与升级</w:t>
      </w:r>
    </w:p>
    <w:p>
      <w:pPr>
        <w:rPr>
          <w:b/>
          <w:bCs/>
          <w:sz w:val="30"/>
          <w:szCs w:val="30"/>
        </w:rPr>
      </w:pPr>
      <w:r>
        <w:rPr>
          <w:rFonts w:hint="eastAsia"/>
          <w:b/>
          <w:bCs/>
          <w:sz w:val="30"/>
          <w:szCs w:val="30"/>
        </w:rPr>
        <w:t>4.2软件系统设计</w:t>
      </w:r>
    </w:p>
    <w:p>
      <w:pPr>
        <w:ind w:firstLine="480" w:firstLineChars="200"/>
        <w:rPr>
          <w:rFonts w:hint="eastAsia" w:asciiTheme="minorEastAsia" w:hAnsiTheme="minorEastAsia"/>
          <w:sz w:val="24"/>
          <w:szCs w:val="32"/>
        </w:rPr>
      </w:pPr>
      <w:r>
        <w:rPr>
          <w:rFonts w:hint="eastAsia" w:asciiTheme="minorEastAsia" w:hAnsiTheme="minorEastAsia"/>
          <w:sz w:val="24"/>
          <w:szCs w:val="32"/>
        </w:rPr>
        <w:t>“奶立方” 智能奶粉冲调中心的软件系统设计围绕实时性、精确性和智能化三大核心目标展开，涵盖底层控制算法、数据融合策略、人机交互逻辑及云端服务架构。系统采用分层式设计，从硬件驱动层到应用逻辑层逐级抽象，确保各模块既能独立优化又可协同运行。</w:t>
      </w:r>
    </w:p>
    <w:p>
      <w:pPr>
        <w:rPr>
          <w:sz w:val="24"/>
        </w:rPr>
      </w:pPr>
      <w:r>
        <w:rPr>
          <w:rFonts w:hint="eastAsia"/>
          <w:b/>
          <w:bCs/>
          <w:sz w:val="28"/>
          <w:szCs w:val="28"/>
        </w:rPr>
        <w:t>4.2.1自研控制算法（多电机协同调度）</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系统需同时管理进料电机（步进）、搅拌电机（无刷）、压盖电机（伺服）等多个执行机构，传统顺序控制易导致动作延迟。为此，开发了基于时间触发（TT）的分布式调度算法，将各电机任务分解为微秒级时间片，通过硬件定时器（如 STM32 的 TIM 模块）精准触发。例如：</w:t>
      </w:r>
    </w:p>
    <w:p>
      <w:pPr>
        <w:pStyle w:val="35"/>
        <w:numPr>
          <w:ilvl w:val="0"/>
          <w:numId w:val="1"/>
        </w:numPr>
        <w:spacing w:line="300" w:lineRule="auto"/>
        <w:rPr>
          <w:rFonts w:hint="eastAsia" w:asciiTheme="minorEastAsia" w:hAnsiTheme="minorEastAsia"/>
          <w:sz w:val="24"/>
          <w:szCs w:val="32"/>
        </w:rPr>
      </w:pPr>
      <w:r>
        <w:rPr>
          <w:rFonts w:hint="eastAsia" w:asciiTheme="minorEastAsia" w:hAnsiTheme="minorEastAsia"/>
          <w:sz w:val="24"/>
          <w:szCs w:val="32"/>
        </w:rPr>
        <w:t>进料阶段：</w:t>
      </w:r>
      <w:r>
        <w:rPr>
          <w:rFonts w:hint="eastAsia" w:asciiTheme="minorEastAsia" w:hAnsiTheme="minorEastAsia" w:eastAsiaTheme="minorEastAsia" w:cstheme="minorBidi"/>
          <w:kern w:val="2"/>
          <w:sz w:val="24"/>
          <w:szCs w:val="32"/>
          <w:lang w:val="en-US" w:eastAsia="zh-CN" w:bidi="ar-SA"/>
          <w14:ligatures w14:val="standardContextual"/>
        </w:rPr>
        <w:t>蜗轮蜗杆电机以 S 曲线加速至目标转速，同时称重传感器每 50ms 反馈一次质量数据，若检测到偏差超过 0.05g，立即触发动态脉冲补偿算法调整步进电机微步数。同时，蜗杆驱动蜗轮对粉料盒内奶粉进行搅拌，防止结块影响进料进度，软件实时监测搅拌阻力变化，当阻力超过阈值时自动提升搅拌频率。</w:t>
      </w:r>
    </w:p>
    <w:p>
      <w:pPr>
        <w:pStyle w:val="35"/>
        <w:numPr>
          <w:ilvl w:val="0"/>
          <w:numId w:val="1"/>
        </w:numPr>
        <w:spacing w:line="300" w:lineRule="auto"/>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sz w:val="24"/>
          <w:szCs w:val="32"/>
        </w:rPr>
        <w:t>混合阶段：</w:t>
      </w:r>
      <w:r>
        <w:rPr>
          <w:rFonts w:hint="eastAsia" w:asciiTheme="minorEastAsia" w:hAnsiTheme="minorEastAsia" w:eastAsiaTheme="minorEastAsia" w:cstheme="minorBidi"/>
          <w:kern w:val="2"/>
          <w:sz w:val="24"/>
          <w:szCs w:val="32"/>
          <w:lang w:val="en-US" w:eastAsia="zh-CN" w:bidi="ar-SA"/>
          <w14:ligatures w14:val="standardContextual"/>
        </w:rPr>
        <w:t>无刷电机采用磁场定向控制（FOC），结合霍尔传感器反馈实现 1500rpm 范围内的无级调速。针对正反涡轮摇奶不结块的需求，开发正反转交替控制逻辑，通过 FFT 频域分析实时监测振动频谱，动态避开临界转速点（如 800-900rpm），确保在 800r/min 高转速下仍保持稳定运行。</w:t>
      </w:r>
    </w:p>
    <w:p>
      <w:pPr>
        <w:pStyle w:val="35"/>
        <w:numPr>
          <w:ilvl w:val="0"/>
          <w:numId w:val="1"/>
        </w:numPr>
        <w:spacing w:line="300" w:lineRule="auto"/>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sz w:val="24"/>
          <w:szCs w:val="32"/>
        </w:rPr>
        <w:t>冲突仲裁：</w:t>
      </w:r>
      <w:r>
        <w:rPr>
          <w:rFonts w:hint="eastAsia" w:asciiTheme="minorEastAsia" w:hAnsiTheme="minorEastAsia" w:eastAsiaTheme="minorEastAsia" w:cstheme="minorBidi"/>
          <w:kern w:val="2"/>
          <w:sz w:val="24"/>
          <w:szCs w:val="32"/>
          <w:lang w:val="en-US" w:eastAsia="zh-CN" w:bidi="ar-SA"/>
          <w14:ligatures w14:val="standardContextual"/>
        </w:rPr>
        <w:t>当进料、压盖与搅拌动作需共享同一电源总线时，动态负载均衡算法会优先保障核心动作供电。例如，进料与搅拌同时进行时，优先满足搅拌电机功率需求，通过调整进料电机脉冲频率降低瞬时功耗，并通过 OLED 屏幕和语音模块同步告知用户 “正在优化动力分配，请稍候”。</w:t>
      </w:r>
    </w:p>
    <w:p>
      <w:pPr>
        <w:pStyle w:val="35"/>
        <w:numPr>
          <w:numId w:val="0"/>
        </w:numPr>
        <w:spacing w:line="300" w:lineRule="auto"/>
        <w:ind w:leftChars="0"/>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cstheme="minorBidi"/>
          <w:kern w:val="2"/>
          <w:sz w:val="24"/>
          <w:szCs w:val="32"/>
          <w:lang w:val="en-US" w:eastAsia="zh-CN" w:bidi="ar-SA"/>
          <w14:ligatures w14:val="standardContextual"/>
        </w:rPr>
        <w:drawing>
          <wp:inline distT="0" distB="0" distL="114300" distR="114300">
            <wp:extent cx="5273675" cy="5233035"/>
            <wp:effectExtent l="0" t="0" r="9525" b="12065"/>
            <wp:docPr id="8" name="图片 8" desc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one"/>
                    <pic:cNvPicPr>
                      <a:picLocks noChangeAspect="1"/>
                    </pic:cNvPicPr>
                  </pic:nvPicPr>
                  <pic:blipFill>
                    <a:blip r:embed="rId11"/>
                    <a:stretch>
                      <a:fillRect/>
                    </a:stretch>
                  </pic:blipFill>
                  <pic:spPr>
                    <a:xfrm>
                      <a:off x="0" y="0"/>
                      <a:ext cx="5273675" cy="5233035"/>
                    </a:xfrm>
                    <a:prstGeom prst="rect">
                      <a:avLst/>
                    </a:prstGeom>
                  </pic:spPr>
                </pic:pic>
              </a:graphicData>
            </a:graphic>
          </wp:inline>
        </w:drawing>
      </w:r>
      <w:r>
        <w:rPr>
          <w:rFonts w:hint="eastAsia" w:asciiTheme="minorEastAsia" w:hAnsiTheme="minorEastAsia" w:cstheme="minorBidi"/>
          <w:kern w:val="2"/>
          <w:sz w:val="24"/>
          <w:szCs w:val="32"/>
          <w:lang w:val="en-US" w:eastAsia="zh-CN" w:bidi="ar-SA"/>
          <w14:ligatures w14:val="standardContextual"/>
        </w:rPr>
        <w:t xml:space="preserve">         </w:t>
      </w:r>
    </w:p>
    <w:p>
      <w:pPr>
        <w:widowControl/>
        <w:jc w:val="left"/>
        <w:rPr>
          <w:sz w:val="24"/>
        </w:rPr>
      </w:pPr>
      <w:r>
        <w:rPr>
          <w:rFonts w:hint="eastAsia"/>
          <w:b/>
          <w:bCs/>
          <w:sz w:val="28"/>
          <w:szCs w:val="28"/>
        </w:rPr>
        <w:t>4.2.2</w:t>
      </w:r>
      <w:r>
        <w:rPr>
          <w:b/>
          <w:bCs/>
          <w:sz w:val="28"/>
          <w:szCs w:val="28"/>
        </w:rPr>
        <w:t>矢量运动控制算法</w:t>
      </w:r>
      <w:r>
        <w:rPr>
          <w:rFonts w:ascii="HYZhongHeiKW" w:hAnsi="HYZhongHeiKW" w:eastAsia="HYZhongHeiKW" w:cs="HYZhongHeiKW"/>
          <w:color w:val="000000"/>
          <w:kern w:val="0"/>
          <w:sz w:val="24"/>
          <w:lang w:bidi="ar"/>
        </w:rPr>
        <w:t xml:space="preserve"> </w:t>
      </w:r>
    </w:p>
    <w:p>
      <w:pPr>
        <w:widowControl/>
        <w:jc w:val="left"/>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eastAsiaTheme="minorEastAsia" w:cstheme="minorBidi"/>
          <w:kern w:val="2"/>
          <w:sz w:val="24"/>
          <w:szCs w:val="32"/>
          <w:lang w:val="en-US" w:eastAsia="zh-CN" w:bidi="ar-SA"/>
          <w14:ligatures w14:val="standardContextual"/>
        </w:rPr>
        <w:t>称重模块采用卡尔曼滤波 + 滑动窗口均值的数据融合算法，有效抑制环境振动带来的噪声干扰。针对奶粉流动性差异，开发了质量 - 流量 - 溶解度耦合模型：</w:t>
      </w:r>
    </w:p>
    <w:p>
      <w:pPr>
        <w:widowControl/>
        <w:numPr>
          <w:ilvl w:val="0"/>
          <w:numId w:val="2"/>
        </w:numPr>
        <w:ind w:left="420" w:leftChars="0" w:hanging="420" w:firstLineChars="0"/>
        <w:jc w:val="left"/>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eastAsiaTheme="minorEastAsia" w:cstheme="minorBidi"/>
          <w:kern w:val="2"/>
          <w:sz w:val="24"/>
          <w:szCs w:val="32"/>
          <w:lang w:val="en-US" w:eastAsia="zh-CN" w:bidi="ar-SA"/>
          <w14:ligatures w14:val="standardContextual"/>
        </w:rPr>
        <w:t>通过实时摄影模块（集成 YOLOv5 算法）监测奶粉溶解状态，将溶解均匀度量化为 0-100 的评分参数，反馈至运动控制单元。</w:t>
      </w:r>
    </w:p>
    <w:p>
      <w:pPr>
        <w:widowControl/>
        <w:numPr>
          <w:ilvl w:val="0"/>
          <w:numId w:val="2"/>
        </w:numPr>
        <w:ind w:left="420" w:leftChars="0" w:hanging="420" w:firstLineChars="0"/>
        <w:jc w:val="left"/>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eastAsiaTheme="minorEastAsia" w:cstheme="minorBidi"/>
          <w:kern w:val="2"/>
          <w:sz w:val="24"/>
          <w:szCs w:val="32"/>
          <w:lang w:val="en-US" w:eastAsia="zh-CN" w:bidi="ar-SA"/>
          <w14:ligatures w14:val="standardContextual"/>
        </w:rPr>
        <w:t xml:space="preserve"> 结合历史下料数据和溶解评分，动态调整螺旋推进器的转速补偿系数与搅拌电机的正反转周期，确保不同品牌奶粉（如易结块的羊奶粉、高溶解度的水解奶粉）在冲调后均能达到 95% 以上的均匀度。 </w:t>
      </w:r>
    </w:p>
    <w:p>
      <w:pPr>
        <w:widowControl/>
        <w:numPr>
          <w:ilvl w:val="0"/>
          <w:numId w:val="2"/>
        </w:numPr>
        <w:ind w:left="420" w:leftChars="0" w:hanging="420" w:firstLineChars="0"/>
        <w:jc w:val="left"/>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eastAsiaTheme="minorEastAsia" w:cstheme="minorBidi"/>
          <w:kern w:val="2"/>
          <w:sz w:val="24"/>
          <w:szCs w:val="32"/>
          <w:lang w:val="en-US" w:eastAsia="zh-CN" w:bidi="ar-SA"/>
          <w14:ligatures w14:val="standardContextual"/>
        </w:rPr>
        <w:t>建立水温 - 溶解度关联数据库，当检测到水温偏离标准值（如设定 45℃实际 42℃）时，自动延长搅拌时间 10% 以补偿溶解度下降。</w:t>
      </w:r>
    </w:p>
    <w:p>
      <w:pPr>
        <w:widowControl/>
        <w:numPr>
          <w:numId w:val="0"/>
        </w:numPr>
        <w:ind w:leftChars="0"/>
        <w:jc w:val="left"/>
        <w:rPr>
          <w:rFonts w:hint="eastAsia" w:asciiTheme="minorEastAsia" w:hAnsiTheme="minorEastAsia" w:eastAsiaTheme="minorEastAsia" w:cstheme="minorBidi"/>
          <w:kern w:val="2"/>
          <w:sz w:val="24"/>
          <w:szCs w:val="32"/>
          <w:lang w:val="en-US" w:eastAsia="zh-CN" w:bidi="ar-SA"/>
          <w14:ligatures w14:val="standardContextual"/>
        </w:rPr>
      </w:pPr>
      <w:r>
        <w:rPr>
          <w:rFonts w:hint="eastAsia" w:asciiTheme="minorEastAsia" w:hAnsiTheme="minorEastAsia" w:eastAsiaTheme="minorEastAsia" w:cstheme="minorBidi"/>
          <w:kern w:val="2"/>
          <w:sz w:val="24"/>
          <w:szCs w:val="32"/>
          <w:lang w:val="en-US" w:eastAsia="zh-CN" w:bidi="ar-SA"/>
          <w14:ligatures w14:val="standardContextual"/>
        </w:rPr>
        <w:drawing>
          <wp:inline distT="0" distB="0" distL="114300" distR="114300">
            <wp:extent cx="5273675" cy="3937635"/>
            <wp:effectExtent l="0" t="0" r="9525" b="12065"/>
            <wp:docPr id="9" name="图片 9" descr="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wo"/>
                    <pic:cNvPicPr>
                      <a:picLocks noChangeAspect="1"/>
                    </pic:cNvPicPr>
                  </pic:nvPicPr>
                  <pic:blipFill>
                    <a:blip r:embed="rId12"/>
                    <a:stretch>
                      <a:fillRect/>
                    </a:stretch>
                  </pic:blipFill>
                  <pic:spPr>
                    <a:xfrm>
                      <a:off x="0" y="0"/>
                      <a:ext cx="5273675" cy="3937635"/>
                    </a:xfrm>
                    <a:prstGeom prst="rect">
                      <a:avLst/>
                    </a:prstGeom>
                  </pic:spPr>
                </pic:pic>
              </a:graphicData>
            </a:graphic>
          </wp:inline>
        </w:drawing>
      </w:r>
    </w:p>
    <w:p>
      <w:pPr>
        <w:widowControl/>
        <w:numPr>
          <w:numId w:val="0"/>
        </w:numPr>
        <w:ind w:leftChars="0"/>
        <w:jc w:val="left"/>
        <w:rPr>
          <w:rFonts w:hint="eastAsia" w:asciiTheme="minorEastAsia" w:hAnsiTheme="minorEastAsia" w:eastAsiaTheme="minorEastAsia" w:cstheme="minorBidi"/>
          <w:kern w:val="2"/>
          <w:sz w:val="24"/>
          <w:szCs w:val="32"/>
          <w:lang w:val="en-US" w:eastAsia="zh-CN" w:bidi="ar-SA"/>
          <w14:ligatures w14:val="standardContextual"/>
        </w:rPr>
      </w:pPr>
    </w:p>
    <w:p>
      <w:pPr>
        <w:widowControl/>
        <w:numPr>
          <w:numId w:val="0"/>
        </w:numPr>
        <w:ind w:leftChars="0"/>
        <w:jc w:val="left"/>
        <w:rPr>
          <w:rFonts w:hint="eastAsia" w:asciiTheme="minorEastAsia" w:hAnsiTheme="minorEastAsia" w:eastAsiaTheme="minorEastAsia" w:cstheme="minorBidi"/>
          <w:kern w:val="2"/>
          <w:sz w:val="24"/>
          <w:szCs w:val="32"/>
          <w:lang w:val="en-US" w:eastAsia="zh-CN" w:bidi="ar-SA"/>
          <w14:ligatures w14:val="standardContextual"/>
        </w:rPr>
      </w:pPr>
      <w:r>
        <w:drawing>
          <wp:inline distT="0" distB="0" distL="114300" distR="114300">
            <wp:extent cx="2600325" cy="1951355"/>
            <wp:effectExtent l="0" t="0" r="3175" b="444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2600325" cy="1951355"/>
                    </a:xfrm>
                    <a:prstGeom prst="rect">
                      <a:avLst/>
                    </a:prstGeom>
                  </pic:spPr>
                </pic:pic>
              </a:graphicData>
            </a:graphic>
          </wp:inline>
        </w:drawing>
      </w:r>
      <w:r>
        <w:drawing>
          <wp:inline distT="0" distB="0" distL="114300" distR="114300">
            <wp:extent cx="2625725" cy="1969770"/>
            <wp:effectExtent l="0" t="0" r="3175" b="1143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2625725" cy="1969770"/>
                    </a:xfrm>
                    <a:prstGeom prst="rect">
                      <a:avLst/>
                    </a:prstGeom>
                  </pic:spPr>
                </pic:pic>
              </a:graphicData>
            </a:graphic>
          </wp:inline>
        </w:drawing>
      </w:r>
    </w:p>
    <w:p>
      <w:pPr>
        <w:widowControl/>
        <w:numPr>
          <w:numId w:val="0"/>
        </w:numPr>
        <w:ind w:leftChars="0"/>
        <w:jc w:val="left"/>
        <w:rPr>
          <w:rFonts w:hint="eastAsia" w:asciiTheme="minorEastAsia" w:hAnsiTheme="minorEastAsia" w:eastAsiaTheme="minorEastAsia" w:cstheme="minorBidi"/>
          <w:kern w:val="2"/>
          <w:sz w:val="24"/>
          <w:szCs w:val="32"/>
          <w:lang w:val="en-US" w:eastAsia="zh-CN" w:bidi="ar-SA"/>
          <w14:ligatures w14:val="standardContextual"/>
        </w:rPr>
      </w:pPr>
    </w:p>
    <w:p>
      <w:pPr>
        <w:widowControl/>
        <w:jc w:val="left"/>
        <w:rPr>
          <w:rFonts w:hint="eastAsia"/>
          <w:b/>
          <w:bCs/>
          <w:sz w:val="28"/>
          <w:szCs w:val="28"/>
        </w:rPr>
      </w:pPr>
      <w:r>
        <w:rPr>
          <w:rFonts w:hint="eastAsia"/>
          <w:b/>
          <w:bCs/>
          <w:sz w:val="28"/>
          <w:szCs w:val="28"/>
        </w:rPr>
        <w:t>4.2.3 传感器数据融合与误差补偿</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系统集成称重、光学、温度、流量、压力五类传感器，数据融合面临采样频率差异（如称重100Hz、温度1Hz）和噪声干扰问题：</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称重信号处理：采用改进型卡尔曼滤波（AEKF），在传统状态方程中增加加速度观测项，有效抑制机械振动引起的±0.2g瞬时波动。滤波后数据经滑动窗口加权平均（窗口大小动态调整，低速下料用5点窗口，高速用3点），最终精度达±0.02g。</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多传感器标定：开发自动标定流程，设备上电后自动执行：</w:t>
      </w:r>
    </w:p>
    <w:p>
      <w:pPr>
        <w:pStyle w:val="35"/>
        <w:numPr>
          <w:ilvl w:val="0"/>
          <w:numId w:val="3"/>
        </w:numPr>
        <w:spacing w:line="300" w:lineRule="auto"/>
        <w:rPr>
          <w:rFonts w:hint="eastAsia" w:asciiTheme="minorEastAsia" w:hAnsiTheme="minorEastAsia"/>
          <w:sz w:val="24"/>
          <w:szCs w:val="32"/>
        </w:rPr>
      </w:pPr>
      <w:r>
        <w:rPr>
          <w:rFonts w:hint="eastAsia" w:asciiTheme="minorEastAsia" w:hAnsiTheme="minorEastAsia"/>
          <w:sz w:val="24"/>
          <w:szCs w:val="32"/>
        </w:rPr>
        <w:t>光学传感器通过已知高度的标定块校正像素-毫米转换系数；</w:t>
      </w:r>
    </w:p>
    <w:p>
      <w:pPr>
        <w:pStyle w:val="35"/>
        <w:numPr>
          <w:ilvl w:val="0"/>
          <w:numId w:val="3"/>
        </w:numPr>
        <w:spacing w:line="300" w:lineRule="auto"/>
        <w:rPr>
          <w:rFonts w:hint="eastAsia" w:asciiTheme="minorEastAsia" w:hAnsiTheme="minorEastAsia"/>
          <w:sz w:val="24"/>
          <w:szCs w:val="32"/>
        </w:rPr>
      </w:pPr>
      <w:r>
        <w:rPr>
          <w:rFonts w:hint="eastAsia" w:asciiTheme="minorEastAsia" w:hAnsiTheme="minorEastAsia"/>
          <w:sz w:val="24"/>
          <w:szCs w:val="32"/>
        </w:rPr>
        <w:t>称重模块加载标准砝码（50g/100g/200g）拟合非线性误差曲线；</w:t>
      </w:r>
    </w:p>
    <w:p>
      <w:pPr>
        <w:pStyle w:val="35"/>
        <w:numPr>
          <w:ilvl w:val="0"/>
          <w:numId w:val="3"/>
        </w:numPr>
        <w:spacing w:line="300" w:lineRule="auto"/>
        <w:rPr>
          <w:rFonts w:hint="eastAsia" w:asciiTheme="minorEastAsia" w:hAnsiTheme="minorEastAsia"/>
          <w:sz w:val="24"/>
          <w:szCs w:val="32"/>
        </w:rPr>
      </w:pPr>
      <w:r>
        <w:rPr>
          <w:rFonts w:hint="eastAsia" w:asciiTheme="minorEastAsia" w:hAnsiTheme="minorEastAsia"/>
          <w:sz w:val="24"/>
          <w:szCs w:val="32"/>
        </w:rPr>
        <w:t>流量计通过固定水量（100ml）测试，校准脉冲计数与流速关系。</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奶粉流动性补偿：针对不同品牌奶粉的颗粒特性（如水解奶粉易粘附），建立粉末流变数据库。每次下料时记录实际流量与理论流量的偏差，通过**指数加权移动平均（EWMA）**更新补偿系数，使后续批次误差减少60%以上。</w:t>
      </w:r>
    </w:p>
    <w:p>
      <w:pPr>
        <w:widowControl/>
        <w:jc w:val="left"/>
        <w:rPr>
          <w:b/>
          <w:bCs/>
          <w:sz w:val="24"/>
        </w:rPr>
      </w:pPr>
      <w:r>
        <w:rPr>
          <w:rFonts w:hint="eastAsia"/>
          <w:b/>
          <w:bCs/>
          <w:sz w:val="28"/>
          <w:szCs w:val="28"/>
        </w:rPr>
        <w:t>4.2.4 用户交互与远程管理</w:t>
      </w:r>
      <w:r>
        <w:rPr>
          <w:rFonts w:ascii="HYZhongHeiKW" w:hAnsi="HYZhongHeiKW" w:eastAsia="HYZhongHeiKW" w:cs="HYZhongHeiKW"/>
          <w:b/>
          <w:bCs/>
          <w:color w:val="000000"/>
          <w:kern w:val="0"/>
          <w:sz w:val="24"/>
          <w:lang w:bidi="ar"/>
        </w:rPr>
        <w:t xml:space="preserve"> </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人机交互方面，系统以 “多场景适配、全流程覆盖、低学习成本” 为核心设计理念，构建 “本地 + 远程” 一体化交互体系，支持触控、语音、APP 远程三模操作，全面适配家庭育儿的多样化场景需求：</w:t>
      </w:r>
    </w:p>
    <w:p>
      <w:pPr>
        <w:pStyle w:val="5"/>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b/>
          <w:bCs/>
          <w:color w:val="auto"/>
          <w:kern w:val="2"/>
          <w:sz w:val="24"/>
          <w:szCs w:val="32"/>
          <w:lang w:val="en-US" w:eastAsia="zh-CN" w:bidi="ar-SA"/>
          <w14:ligatures w14:val="standardContextual"/>
        </w:rPr>
        <w:t>语音交互系统：</w:t>
      </w:r>
      <w:r>
        <w:rPr>
          <w:rFonts w:hint="default" w:asciiTheme="minorEastAsia" w:hAnsiTheme="minorEastAsia" w:eastAsiaTheme="minorEastAsia" w:cstheme="minorBidi"/>
          <w:color w:val="auto"/>
          <w:kern w:val="2"/>
          <w:sz w:val="24"/>
          <w:szCs w:val="32"/>
          <w:lang w:val="en-US" w:eastAsia="zh-CN" w:bidi="ar-SA"/>
          <w14:ligatures w14:val="standardContextual"/>
        </w:rPr>
        <w:t>采用 ASR-PRO2.0PLUS 语音识别模块，打造 “免唤醒 + 场景化指令” 交互模式：</w:t>
      </w:r>
    </w:p>
    <w:p>
      <w:pPr>
        <w:keepNext w:val="0"/>
        <w:keepLines w:val="0"/>
        <w:widowControl/>
        <w:numPr>
          <w:ilvl w:val="0"/>
          <w:numId w:val="4"/>
        </w:numPr>
        <w:suppressLineNumbers w:val="0"/>
        <w:pBdr>
          <w:left w:val="none" w:color="auto" w:sz="0" w:space="0"/>
        </w:pBdr>
        <w:spacing w:before="0" w:beforeAutospacing="1" w:after="0" w:afterAutospacing="1" w:line="280" w:lineRule="atLeast"/>
        <w:ind w:left="420" w:leftChars="0" w:hanging="420" w:firstLine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color w:val="auto"/>
          <w:kern w:val="2"/>
          <w:sz w:val="24"/>
          <w:szCs w:val="32"/>
          <w:lang w:val="en-US" w:eastAsia="zh-CN" w:bidi="ar-SA"/>
          <w14:ligatures w14:val="standardContextual"/>
        </w:rPr>
        <w:t>识别能力：支持中文普通话及湖北、四川、广东等 6 种方言识别，准确率达 92%；针对婴儿哭闹环境优化降噪算法，在 80 分贝背景噪音下仍保持 78% 的指令识别率。</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sz w:val="16"/>
          <w:szCs w:val="16"/>
        </w:rPr>
      </w:pPr>
      <w:r>
        <w:rPr>
          <w:rFonts w:hint="default" w:asciiTheme="minorEastAsia" w:hAnsiTheme="minorEastAsia" w:eastAsiaTheme="minorEastAsia" w:cstheme="minorBidi"/>
          <w:color w:val="auto"/>
          <w:kern w:val="2"/>
          <w:sz w:val="24"/>
          <w:szCs w:val="32"/>
          <w:lang w:val="en-US" w:eastAsia="zh-CN" w:bidi="ar-SA"/>
          <w14:ligatures w14:val="standardContextual"/>
        </w:rPr>
        <w:t>指令体系：内置 120 + 条场景化指令，覆盖基础操作（如 “冲 150ml 奶粉”“水温调至 45℃”）、状态查询（如 “还剩多少奶粉”“下次清洁时间”）、模式切换（如 “夜间静音模式”“快速冲调模式”）三大类。支持上下文语义理解，例如用户说 “再热点” 时，系统自动关联上一次冲泡的水温参数（如原 45℃则调整为 50℃）。</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sz w:val="16"/>
          <w:szCs w:val="16"/>
        </w:rPr>
      </w:pPr>
      <w:r>
        <w:rPr>
          <w:rFonts w:hint="default" w:asciiTheme="minorEastAsia" w:hAnsiTheme="minorEastAsia" w:eastAsiaTheme="minorEastAsia" w:cstheme="minorBidi"/>
          <w:color w:val="auto"/>
          <w:kern w:val="2"/>
          <w:sz w:val="24"/>
          <w:szCs w:val="32"/>
          <w:lang w:val="en-US" w:eastAsia="zh-CN" w:bidi="ar-SA"/>
          <w14:ligatures w14:val="standardContextual"/>
        </w:rPr>
        <w:t>跨设备联动：深度接入全屋智能生态（小米 AIoT、华为鸿蒙智联、苹果 HomeKit），可通过智能音箱、智能手表等终端触发冲调指令（如 “小爱同学，让奶粉机准备 180ml 奶”），并同步反馈操作进度至关联设备。</w:t>
      </w:r>
    </w:p>
    <w:p>
      <w:pPr>
        <w:keepNext w:val="0"/>
        <w:keepLines w:val="0"/>
        <w:widowControl/>
        <w:numPr>
          <w:numId w:val="0"/>
        </w:numPr>
        <w:suppressLineNumbers w:val="0"/>
        <w:pBdr>
          <w:left w:val="none" w:color="auto" w:sz="0" w:space="0"/>
        </w:pBdr>
        <w:spacing w:before="80" w:beforeAutospacing="0" w:after="0" w:afterAutospacing="1" w:line="280" w:lineRule="atLeast"/>
        <w:ind w:leftChars="0"/>
        <w:rPr>
          <w:rFonts w:hint="eastAsia" w:eastAsiaTheme="minorEastAsia"/>
          <w:sz w:val="16"/>
          <w:szCs w:val="16"/>
          <w:lang w:eastAsia="zh-CN"/>
        </w:rPr>
      </w:pPr>
      <w:r>
        <w:rPr>
          <w:sz w:val="16"/>
          <w:szCs w:val="16"/>
        </w:rPr>
        <w:drawing>
          <wp:inline distT="0" distB="0" distL="114300" distR="114300">
            <wp:extent cx="2058035" cy="2143760"/>
            <wp:effectExtent l="0" t="0" r="12065" b="2540"/>
            <wp:docPr id="16" name="图片 16" descr="语音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语音1"/>
                    <pic:cNvPicPr>
                      <a:picLocks noChangeAspect="1"/>
                    </pic:cNvPicPr>
                  </pic:nvPicPr>
                  <pic:blipFill>
                    <a:blip r:embed="rId15"/>
                    <a:stretch>
                      <a:fillRect/>
                    </a:stretch>
                  </pic:blipFill>
                  <pic:spPr>
                    <a:xfrm>
                      <a:off x="0" y="0"/>
                      <a:ext cx="2058035" cy="2143760"/>
                    </a:xfrm>
                    <a:prstGeom prst="rect">
                      <a:avLst/>
                    </a:prstGeom>
                  </pic:spPr>
                </pic:pic>
              </a:graphicData>
            </a:graphic>
          </wp:inline>
        </w:drawing>
      </w:r>
      <w:r>
        <w:rPr>
          <w:rFonts w:hint="eastAsia" w:eastAsiaTheme="minorEastAsia"/>
          <w:sz w:val="16"/>
          <w:szCs w:val="16"/>
          <w:lang w:eastAsia="zh-CN"/>
        </w:rPr>
        <w:drawing>
          <wp:inline distT="0" distB="0" distL="114300" distR="114300">
            <wp:extent cx="2125345" cy="2151380"/>
            <wp:effectExtent l="0" t="0" r="8255" b="7620"/>
            <wp:docPr id="17" name="图片 17" descr="语音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语音2"/>
                    <pic:cNvPicPr>
                      <a:picLocks noChangeAspect="1"/>
                    </pic:cNvPicPr>
                  </pic:nvPicPr>
                  <pic:blipFill>
                    <a:blip r:embed="rId16"/>
                    <a:stretch>
                      <a:fillRect/>
                    </a:stretch>
                  </pic:blipFill>
                  <pic:spPr>
                    <a:xfrm>
                      <a:off x="0" y="0"/>
                      <a:ext cx="2125345" cy="2151380"/>
                    </a:xfrm>
                    <a:prstGeom prst="rect">
                      <a:avLst/>
                    </a:prstGeom>
                  </pic:spPr>
                </pic:pic>
              </a:graphicData>
            </a:graphic>
          </wp:inline>
        </w:drawing>
      </w:r>
    </w:p>
    <w:p>
      <w:pPr>
        <w:keepNext w:val="0"/>
        <w:keepLines w:val="0"/>
        <w:widowControl/>
        <w:numPr>
          <w:numId w:val="0"/>
        </w:numPr>
        <w:suppressLineNumbers w:val="0"/>
        <w:pBdr>
          <w:left w:val="none" w:color="auto" w:sz="0" w:space="0"/>
        </w:pBdr>
        <w:spacing w:before="80" w:beforeAutospacing="0" w:after="0" w:afterAutospacing="1" w:line="280" w:lineRule="atLeast"/>
        <w:ind w:leftChars="0"/>
        <w:rPr>
          <w:sz w:val="16"/>
          <w:szCs w:val="16"/>
        </w:rPr>
      </w:pPr>
      <w:r>
        <w:drawing>
          <wp:inline distT="0" distB="0" distL="114300" distR="114300">
            <wp:extent cx="2350770" cy="1763395"/>
            <wp:effectExtent l="0" t="0" r="1143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7"/>
                    <a:stretch>
                      <a:fillRect/>
                    </a:stretch>
                  </pic:blipFill>
                  <pic:spPr>
                    <a:xfrm>
                      <a:off x="0" y="0"/>
                      <a:ext cx="2350770" cy="1763395"/>
                    </a:xfrm>
                    <a:prstGeom prst="rect">
                      <a:avLst/>
                    </a:prstGeom>
                  </pic:spPr>
                </pic:pic>
              </a:graphicData>
            </a:graphic>
          </wp:inline>
        </w:drawing>
      </w:r>
    </w:p>
    <w:p>
      <w:pPr>
        <w:pStyle w:val="5"/>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b/>
          <w:bCs/>
          <w:color w:val="auto"/>
          <w:kern w:val="2"/>
          <w:sz w:val="24"/>
          <w:szCs w:val="32"/>
          <w:lang w:val="en-US" w:eastAsia="zh-CN" w:bidi="ar-SA"/>
          <w14:ligatures w14:val="standardContextual"/>
        </w:rPr>
        <w:t>本地显示与操作终端</w:t>
      </w:r>
      <w:r>
        <w:rPr>
          <w:rFonts w:hint="eastAsia" w:asciiTheme="minorEastAsia" w:hAnsiTheme="minorEastAsia" w:eastAsiaTheme="minorEastAsia" w:cstheme="minorBidi"/>
          <w:b/>
          <w:bCs/>
          <w:color w:val="auto"/>
          <w:kern w:val="2"/>
          <w:sz w:val="24"/>
          <w:szCs w:val="32"/>
          <w:lang w:val="en-US" w:eastAsia="zh-CN" w:bidi="ar-SA"/>
          <w14:ligatures w14:val="standardContextual"/>
        </w:rPr>
        <w:t>：</w:t>
      </w:r>
      <w:r>
        <w:rPr>
          <w:rFonts w:hint="default" w:asciiTheme="minorEastAsia" w:hAnsiTheme="minorEastAsia" w:eastAsiaTheme="minorEastAsia" w:cstheme="minorBidi"/>
          <w:color w:val="auto"/>
          <w:kern w:val="2"/>
          <w:sz w:val="24"/>
          <w:szCs w:val="32"/>
          <w:lang w:val="en-US" w:eastAsia="zh-CN" w:bidi="ar-SA"/>
          <w14:ligatures w14:val="standardContextual"/>
        </w:rPr>
        <w:t>2.92 英寸 OLED 高清液晶大屏采用 “信息分层 + 动态交互” 设计：</w:t>
      </w:r>
    </w:p>
    <w:p>
      <w:pPr>
        <w:keepNext w:val="0"/>
        <w:keepLines w:val="0"/>
        <w:widowControl/>
        <w:numPr>
          <w:ilvl w:val="0"/>
          <w:numId w:val="4"/>
        </w:numPr>
        <w:suppressLineNumbers w:val="0"/>
        <w:pBdr>
          <w:left w:val="none" w:color="auto" w:sz="0" w:space="0"/>
        </w:pBdr>
        <w:spacing w:before="0" w:beforeAutospacing="1" w:after="0" w:afterAutospacing="1" w:line="280" w:lineRule="atLeast"/>
        <w:ind w:left="420" w:leftChars="0" w:hanging="420" w:firstLine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color w:val="auto"/>
          <w:kern w:val="2"/>
          <w:sz w:val="24"/>
          <w:szCs w:val="32"/>
          <w:lang w:val="en-US" w:eastAsia="zh-CN" w:bidi="ar-SA"/>
          <w14:ligatures w14:val="standardContextual"/>
        </w:rPr>
        <w:t>信息展示：主界面分区域显示核心参数 —— 顶部状态栏（设备在线状态、奶粉余量、清洁提醒）、中部操作区（当前步骤动画、倒计时、水温 / 奶量数值）、底部功能键（一键启动、模式切换、紧急停止）。支持字体三级缩</w:t>
      </w:r>
      <w:r>
        <w:rPr>
          <w:rFonts w:hint="eastAsia" w:asciiTheme="minorEastAsia" w:hAnsiTheme="minorEastAsia" w:cstheme="minorBidi"/>
          <w:color w:val="auto"/>
          <w:kern w:val="2"/>
          <w:sz w:val="24"/>
          <w:szCs w:val="32"/>
          <w:lang w:val="en-US" w:eastAsia="zh-CN" w:bidi="ar-SA"/>
          <w14:ligatures w14:val="standardContextual"/>
        </w:rPr>
        <w:t>放</w:t>
      </w:r>
      <w:r>
        <w:rPr>
          <w:rFonts w:hint="default" w:asciiTheme="minorEastAsia" w:hAnsiTheme="minorEastAsia" w:eastAsiaTheme="minorEastAsia" w:cstheme="minorBidi"/>
          <w:color w:val="auto"/>
          <w:kern w:val="2"/>
          <w:sz w:val="24"/>
          <w:szCs w:val="32"/>
          <w:lang w:val="en-US" w:eastAsia="zh-CN" w:bidi="ar-SA"/>
          <w14:ligatures w14:val="standardContextual"/>
        </w:rPr>
        <w:t>（常规 / 大 / 超大），满足老年人及视力不佳用户需求。</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color w:val="auto"/>
          <w:kern w:val="2"/>
          <w:sz w:val="24"/>
          <w:szCs w:val="32"/>
          <w:lang w:val="en-US" w:eastAsia="zh-CN" w:bidi="ar-SA"/>
          <w14:ligatures w14:val="standardContextual"/>
        </w:rPr>
        <w:t>场景适配：夜间自动切换至 “微光模式”（亮度降低至 5cd/m²），避免强光刺激婴儿；操作时通过渐变色进度条替代闪烁提示，减少噪音干扰。</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color w:val="auto"/>
          <w:kern w:val="2"/>
          <w:sz w:val="24"/>
          <w:szCs w:val="32"/>
          <w:lang w:val="en-US" w:eastAsia="zh-CN" w:bidi="ar-SA"/>
          <w14:ligatures w14:val="standardContextual"/>
        </w:rPr>
        <w:t>离线操作保障：内置离线参数库，即使网络中断，仍可通过屏幕触控完成基础冲调（支持保存 5 组常用配方，如 “宝宝早餐奶”“夜间安睡奶”）。</w:t>
      </w:r>
    </w:p>
    <w:p>
      <w:pPr>
        <w:pStyle w:val="5"/>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b/>
          <w:bCs/>
          <w:color w:val="auto"/>
          <w:kern w:val="2"/>
          <w:sz w:val="24"/>
          <w:szCs w:val="32"/>
          <w:lang w:val="en-US" w:eastAsia="zh-CN" w:bidi="ar-SA"/>
          <w14:ligatures w14:val="standardContextual"/>
        </w:rPr>
        <w:t>远程 APP 生态系统</w:t>
      </w:r>
      <w:r>
        <w:rPr>
          <w:rFonts w:hint="eastAsia" w:asciiTheme="minorEastAsia" w:hAnsiTheme="minorEastAsia" w:eastAsiaTheme="minorEastAsia" w:cstheme="minorBidi"/>
          <w:b/>
          <w:bCs/>
          <w:color w:val="auto"/>
          <w:kern w:val="2"/>
          <w:sz w:val="24"/>
          <w:szCs w:val="32"/>
          <w:lang w:val="en-US" w:eastAsia="zh-CN" w:bidi="ar-SA"/>
          <w14:ligatures w14:val="standardContextual"/>
        </w:rPr>
        <w:t>：</w:t>
      </w:r>
      <w:r>
        <w:rPr>
          <w:rFonts w:hint="default" w:asciiTheme="minorEastAsia" w:hAnsiTheme="minorEastAsia" w:eastAsiaTheme="minorEastAsia" w:cstheme="minorBidi"/>
          <w:color w:val="auto"/>
          <w:kern w:val="2"/>
          <w:sz w:val="24"/>
          <w:szCs w:val="32"/>
          <w:lang w:val="en-US" w:eastAsia="zh-CN" w:bidi="ar-SA"/>
          <w14:ligatures w14:val="standardContextual"/>
        </w:rPr>
        <w:t>基于 TCP/IP 协议的 WIFI 通信架构，突破传统蓝牙的 10 米距离限制，实现全场景远程管理：</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color w:val="auto"/>
          <w:kern w:val="2"/>
          <w:sz w:val="24"/>
          <w:szCs w:val="32"/>
          <w:lang w:val="en-US" w:eastAsia="zh-CN" w:bidi="ar-SA"/>
          <w14:ligatures w14:val="standardContextual"/>
        </w:rPr>
        <w:t>实时交互功能：高清直播：30fps 帧率摄像头实时传输冲调画面，支持 4 倍数字变焦查看细节（如奶粉溶解状态），并自动保存近 7 天操作视频（本地加密存储，占用空间不足 1GB / 天）。双向语音：通过 APP 内置麦克风与设备端扬声器实现远程语音指导，适配长辈操作时的实时协助场景（如 “按屏幕中间的蓝色按钮”）。</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default" w:asciiTheme="minorEastAsia" w:hAnsiTheme="minorEastAsia" w:eastAsiaTheme="minorEastAsia" w:cstheme="minorBidi"/>
          <w:color w:val="auto"/>
          <w:kern w:val="2"/>
          <w:sz w:val="24"/>
          <w:szCs w:val="32"/>
          <w:lang w:val="en-US" w:eastAsia="zh-CN" w:bidi="ar-SA"/>
          <w14:ligatures w14:val="standardContextual"/>
        </w:rPr>
        <w:t>个性化配置中心：配方管理：支持创建 “自定义配方”（如特殊医学用途奶粉的精确配比），可设置水粉比（1:5 至 1:8 可调）、搅拌时长（10-60 秒）、静置时间（0-30 秒，减少气泡）等参数，并支持通过微信 / QQ 分享配方给其他用户。智能推荐：根据婴儿月龄（用户手动录入）自动推荐奶量范围（如 6 个月婴儿推荐 150-180ml），并结合历史喂养时间生成 “喂养提醒”（如 “距离上次喂养已 3 小时，是否准备 160ml 奶”）。</w:t>
      </w:r>
    </w:p>
    <w:p>
      <w:pPr>
        <w:keepNext w:val="0"/>
        <w:keepLines w:val="0"/>
        <w:widowControl/>
        <w:numPr>
          <w:ilvl w:val="0"/>
          <w:numId w:val="4"/>
        </w:numPr>
        <w:suppressLineNumbers w:val="0"/>
        <w:pBdr>
          <w:left w:val="none" w:color="auto" w:sz="0" w:space="0"/>
        </w:pBdr>
        <w:spacing w:before="80" w:beforeAutospacing="0" w:after="0" w:afterAutospacing="1" w:line="280" w:lineRule="atLeast"/>
        <w:ind w:left="420" w:leftChars="0" w:hanging="420" w:firstLineChars="0"/>
        <w:rPr>
          <w:rFonts w:hint="eastAsia" w:asciiTheme="minorEastAsia" w:hAnsiTheme="minorEastAsia"/>
          <w:sz w:val="24"/>
          <w:szCs w:val="32"/>
        </w:rPr>
      </w:pPr>
      <w:r>
        <w:rPr>
          <w:rFonts w:hint="default" w:asciiTheme="minorEastAsia" w:hAnsiTheme="minorEastAsia" w:eastAsiaTheme="minorEastAsia" w:cstheme="minorBidi"/>
          <w:color w:val="auto"/>
          <w:kern w:val="2"/>
          <w:sz w:val="24"/>
          <w:szCs w:val="32"/>
          <w:lang w:val="en-US" w:eastAsia="zh-CN" w:bidi="ar-SA"/>
          <w14:ligatures w14:val="standardContextual"/>
        </w:rPr>
        <w:t>数据服务体系：成长曲线：将每日奶量、喂养时间与婴儿体重（用户手动录入）关联，生成 “奶量 - 体重增长趋势图”，并标注同龄婴儿平均值作为参考（数据仅本地计算，不上传云端）。耗材管理：自动记录奶粉消耗量，根据日均用量预测耗尽时间（如 “当前奶粉可使用 7 天”），并对接品牌官方商城提供一键购买入口（支持多品牌比价）。</w:t>
      </w:r>
    </w:p>
    <w:p>
      <w:pPr>
        <w:keepNext w:val="0"/>
        <w:keepLines w:val="0"/>
        <w:widowControl/>
        <w:numPr>
          <w:numId w:val="0"/>
        </w:numPr>
        <w:suppressLineNumbers w:val="0"/>
        <w:pBdr>
          <w:left w:val="none" w:color="auto" w:sz="0" w:space="0"/>
        </w:pBdr>
        <w:spacing w:before="80" w:beforeAutospacing="0" w:after="0" w:afterAutospacing="1" w:line="280" w:lineRule="atLeast"/>
        <w:ind w:leftChars="0"/>
        <w:rPr>
          <w:rFonts w:hint="default" w:asciiTheme="minorEastAsia" w:hAnsiTheme="minorEastAsia" w:eastAsiaTheme="minorEastAsia" w:cstheme="minorBidi"/>
          <w:color w:val="auto"/>
          <w:kern w:val="2"/>
          <w:sz w:val="24"/>
          <w:szCs w:val="32"/>
          <w:lang w:val="en-US" w:eastAsia="zh-CN" w:bidi="ar-SA"/>
          <w14:ligatures w14:val="standardContextual"/>
        </w:rPr>
      </w:pPr>
      <w:r>
        <w:rPr>
          <w:rFonts w:hint="eastAsia" w:asciiTheme="minorEastAsia" w:hAnsiTheme="minorEastAsia"/>
          <w:sz w:val="24"/>
          <w:szCs w:val="32"/>
        </w:rPr>
        <w:drawing>
          <wp:inline distT="0" distB="0" distL="114300" distR="114300">
            <wp:extent cx="2805430" cy="1388745"/>
            <wp:effectExtent l="0" t="0" r="1270" b="8255"/>
            <wp:docPr id="20" name="图片 20" descr="WIF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IFI1"/>
                    <pic:cNvPicPr>
                      <a:picLocks noChangeAspect="1"/>
                    </pic:cNvPicPr>
                  </pic:nvPicPr>
                  <pic:blipFill>
                    <a:blip r:embed="rId18"/>
                    <a:stretch>
                      <a:fillRect/>
                    </a:stretch>
                  </pic:blipFill>
                  <pic:spPr>
                    <a:xfrm>
                      <a:off x="0" y="0"/>
                      <a:ext cx="2805430" cy="1388745"/>
                    </a:xfrm>
                    <a:prstGeom prst="rect">
                      <a:avLst/>
                    </a:prstGeom>
                  </pic:spPr>
                </pic:pic>
              </a:graphicData>
            </a:graphic>
          </wp:inline>
        </w:drawing>
      </w:r>
      <w:r>
        <w:rPr>
          <w:rFonts w:hint="eastAsia" w:asciiTheme="minorEastAsia" w:hAnsiTheme="minorEastAsia" w:eastAsiaTheme="minorEastAsia"/>
          <w:sz w:val="24"/>
          <w:szCs w:val="32"/>
          <w:lang w:eastAsia="zh-CN"/>
        </w:rPr>
        <w:drawing>
          <wp:inline distT="0" distB="0" distL="114300" distR="114300">
            <wp:extent cx="2438400" cy="1818005"/>
            <wp:effectExtent l="0" t="0" r="0" b="10795"/>
            <wp:docPr id="19" name="图片 19" descr="WIF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IFI2"/>
                    <pic:cNvPicPr>
                      <a:picLocks noChangeAspect="1"/>
                    </pic:cNvPicPr>
                  </pic:nvPicPr>
                  <pic:blipFill>
                    <a:blip r:embed="rId19"/>
                    <a:stretch>
                      <a:fillRect/>
                    </a:stretch>
                  </pic:blipFill>
                  <pic:spPr>
                    <a:xfrm>
                      <a:off x="0" y="0"/>
                      <a:ext cx="2438400" cy="1818005"/>
                    </a:xfrm>
                    <a:prstGeom prst="rect">
                      <a:avLst/>
                    </a:prstGeom>
                  </pic:spPr>
                </pic:pic>
              </a:graphicData>
            </a:graphic>
          </wp:inline>
        </w:drawing>
      </w:r>
    </w:p>
    <w:p>
      <w:pPr>
        <w:keepNext w:val="0"/>
        <w:keepLines w:val="0"/>
        <w:widowControl/>
        <w:numPr>
          <w:numId w:val="0"/>
        </w:numPr>
        <w:suppressLineNumbers w:val="0"/>
        <w:pBdr>
          <w:left w:val="none" w:color="auto" w:sz="0" w:space="0"/>
        </w:pBdr>
        <w:spacing w:before="80" w:beforeAutospacing="0" w:after="0" w:afterAutospacing="1" w:line="280" w:lineRule="atLeast"/>
        <w:jc w:val="both"/>
        <w:rPr>
          <w:rFonts w:hint="eastAsia" w:asciiTheme="minorEastAsia" w:hAnsiTheme="minorEastAsia" w:eastAsiaTheme="minorEastAsia" w:cstheme="minorBidi"/>
          <w:color w:val="auto"/>
          <w:kern w:val="2"/>
          <w:sz w:val="24"/>
          <w:szCs w:val="32"/>
          <w:lang w:val="en-US" w:eastAsia="zh-CN" w:bidi="ar-SA"/>
          <w14:ligatures w14:val="standardContextual"/>
        </w:rPr>
      </w:pPr>
      <w:r>
        <w:rPr>
          <w:rFonts w:hint="eastAsia"/>
          <w:lang w:val="en-US" w:eastAsia="zh-CN"/>
        </w:rPr>
        <w:drawing>
          <wp:inline distT="0" distB="0" distL="114300" distR="114300">
            <wp:extent cx="4876165" cy="3348990"/>
            <wp:effectExtent l="0" t="0" r="635" b="3810"/>
            <wp:docPr id="15" name="图片 15" descr="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hree"/>
                    <pic:cNvPicPr>
                      <a:picLocks noChangeAspect="1"/>
                    </pic:cNvPicPr>
                  </pic:nvPicPr>
                  <pic:blipFill>
                    <a:blip r:embed="rId20"/>
                    <a:stretch>
                      <a:fillRect/>
                    </a:stretch>
                  </pic:blipFill>
                  <pic:spPr>
                    <a:xfrm>
                      <a:off x="0" y="0"/>
                      <a:ext cx="4876165" cy="3348990"/>
                    </a:xfrm>
                    <a:prstGeom prst="rect">
                      <a:avLst/>
                    </a:prstGeom>
                  </pic:spPr>
                </pic:pic>
              </a:graphicData>
            </a:graphic>
          </wp:inline>
        </w:drawing>
      </w:r>
      <w:bookmarkStart w:id="4" w:name="_GoBack"/>
      <w:bookmarkEnd w:id="4"/>
    </w:p>
    <w:p>
      <w:pPr>
        <w:keepNext w:val="0"/>
        <w:keepLines w:val="0"/>
        <w:widowControl/>
        <w:numPr>
          <w:numId w:val="0"/>
        </w:numPr>
        <w:suppressLineNumbers w:val="0"/>
        <w:pBdr>
          <w:left w:val="none" w:color="auto" w:sz="0" w:space="0"/>
        </w:pBdr>
        <w:spacing w:before="80" w:beforeAutospacing="0" w:after="0" w:afterAutospacing="1" w:line="280" w:lineRule="atLeast"/>
        <w:ind w:leftChars="0"/>
        <w:rPr>
          <w:rFonts w:hint="default" w:asciiTheme="minorEastAsia" w:hAnsiTheme="minorEastAsia" w:eastAsiaTheme="minorEastAsia"/>
          <w:sz w:val="24"/>
          <w:szCs w:val="32"/>
          <w:lang w:val="en-US" w:eastAsia="zh-CN"/>
        </w:rPr>
      </w:pPr>
      <w:r>
        <w:rPr>
          <w:rFonts w:hint="eastAsia"/>
          <w:lang w:val="en-US" w:eastAsia="zh-CN"/>
        </w:rPr>
        <w:t xml:space="preserve">                                                                                </w:t>
      </w:r>
    </w:p>
    <w:p>
      <w:pPr>
        <w:keepNext w:val="0"/>
        <w:keepLines w:val="0"/>
        <w:widowControl/>
        <w:numPr>
          <w:numId w:val="0"/>
        </w:numPr>
        <w:suppressLineNumbers w:val="0"/>
        <w:pBdr>
          <w:left w:val="none" w:color="auto" w:sz="0" w:space="0"/>
        </w:pBdr>
        <w:spacing w:before="80" w:beforeAutospacing="0" w:after="0" w:afterAutospacing="1" w:line="280" w:lineRule="atLeast"/>
        <w:jc w:val="both"/>
        <w:rPr>
          <w:rFonts w:hint="eastAsia" w:asciiTheme="minorEastAsia" w:hAnsiTheme="minorEastAsia" w:eastAsiaTheme="minorEastAsia" w:cstheme="minorBidi"/>
          <w:color w:val="auto"/>
          <w:kern w:val="2"/>
          <w:sz w:val="24"/>
          <w:szCs w:val="32"/>
          <w:lang w:val="en-US" w:eastAsia="zh-CN" w:bidi="ar-SA"/>
          <w14:ligatures w14:val="standardContextual"/>
        </w:rPr>
      </w:pPr>
      <w:r>
        <w:rPr>
          <w:rFonts w:hint="eastAsia" w:asciiTheme="minorEastAsia" w:hAnsiTheme="minorEastAsia" w:eastAsiaTheme="minorEastAsia" w:cstheme="minorBidi"/>
          <w:color w:val="auto"/>
          <w:kern w:val="2"/>
          <w:sz w:val="24"/>
          <w:szCs w:val="32"/>
          <w:lang w:val="en-US" w:eastAsia="zh-CN" w:bidi="ar-SA"/>
          <w14:ligatures w14:val="standardContextual"/>
        </w:rPr>
        <w:drawing>
          <wp:inline distT="0" distB="0" distL="114300" distR="114300">
            <wp:extent cx="5266690" cy="5177790"/>
            <wp:effectExtent l="0" t="0" r="3810" b="3810"/>
            <wp:docPr id="3" name="图片 3" descr="Mermaid Chart - Create complex, visual diagrams with text. A smarter way of creating diagrams.-2025-07-27-06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 Chart - Create complex, visual diagrams with text. A smarter way of creating diagrams.-2025-07-27-061758"/>
                    <pic:cNvPicPr>
                      <a:picLocks noChangeAspect="1"/>
                    </pic:cNvPicPr>
                  </pic:nvPicPr>
                  <pic:blipFill>
                    <a:blip r:embed="rId21"/>
                    <a:stretch>
                      <a:fillRect/>
                    </a:stretch>
                  </pic:blipFill>
                  <pic:spPr>
                    <a:xfrm>
                      <a:off x="0" y="0"/>
                      <a:ext cx="5266690" cy="5177790"/>
                    </a:xfrm>
                    <a:prstGeom prst="rect">
                      <a:avLst/>
                    </a:prstGeom>
                  </pic:spPr>
                </pic:pic>
              </a:graphicData>
            </a:graphic>
          </wp:inline>
        </w:drawing>
      </w:r>
    </w:p>
    <w:p>
      <w:pPr>
        <w:pStyle w:val="11"/>
        <w:keepNext w:val="0"/>
        <w:keepLines w:val="0"/>
        <w:widowControl/>
        <w:numPr>
          <w:numId w:val="0"/>
        </w:numPr>
        <w:suppressLineNumbers w:val="0"/>
        <w:pBdr>
          <w:left w:val="none" w:color="auto" w:sz="0" w:space="0"/>
        </w:pBdr>
        <w:spacing w:before="80" w:beforeAutospacing="0" w:after="0" w:afterAutospacing="1" w:line="280" w:lineRule="atLeast"/>
        <w:ind w:firstLine="3000" w:firstLineChars="1500"/>
        <w:jc w:val="both"/>
        <w:rPr>
          <w:rFonts w:hint="eastAsia" w:asciiTheme="minorEastAsia" w:hAnsiTheme="minorEastAsia" w:eastAsiaTheme="minorEastAsia" w:cstheme="minorBidi"/>
          <w:color w:val="auto"/>
          <w:kern w:val="2"/>
          <w:sz w:val="24"/>
          <w:szCs w:val="32"/>
          <w:lang w:val="en-US" w:eastAsia="zh-CN" w:bidi="ar-SA"/>
          <w14:ligatures w14:val="standardContextual"/>
        </w:rPr>
      </w:pPr>
      <w:r>
        <w:t xml:space="preserve">图 </w:t>
      </w:r>
      <w:r>
        <w:fldChar w:fldCharType="begin"/>
      </w:r>
      <w:r>
        <w:instrText xml:space="preserve"> SEQ 图 \* ARABIC </w:instrText>
      </w:r>
      <w:r>
        <w:fldChar w:fldCharType="separate"/>
      </w:r>
      <w:r>
        <w:t>1</w:t>
      </w:r>
      <w:r>
        <w:fldChar w:fldCharType="end"/>
      </w:r>
      <w:r>
        <w:rPr>
          <w:rFonts w:hint="eastAsia"/>
          <w:lang w:eastAsia="zh-CN"/>
        </w:rPr>
        <w:t>核心技术流程架构图</w:t>
      </w:r>
    </w:p>
    <w:p>
      <w:pPr>
        <w:rPr>
          <w:b/>
          <w:bCs/>
          <w:sz w:val="32"/>
          <w:szCs w:val="32"/>
        </w:rPr>
      </w:pPr>
      <w:r>
        <w:rPr>
          <w:rFonts w:hint="eastAsia"/>
          <w:b/>
          <w:bCs/>
          <w:sz w:val="32"/>
          <w:szCs w:val="32"/>
        </w:rPr>
        <w:t>五、项目创新点</w:t>
      </w:r>
    </w:p>
    <w:p>
      <w:pPr>
        <w:pStyle w:val="16"/>
        <w:spacing w:line="360" w:lineRule="auto"/>
        <w:rPr>
          <w:rFonts w:asciiTheme="minorHAnsi" w:hAnsiTheme="minorHAnsi" w:eastAsiaTheme="minorEastAsia" w:cstheme="minorBidi"/>
          <w:color w:val="000000"/>
          <w:kern w:val="2"/>
          <w:sz w:val="30"/>
          <w:szCs w:val="30"/>
        </w:rPr>
      </w:pPr>
      <w:r>
        <w:rPr>
          <w:rFonts w:hint="eastAsia" w:asciiTheme="minorHAnsi" w:hAnsiTheme="minorHAnsi" w:eastAsiaTheme="minorEastAsia" w:cstheme="minorBidi"/>
          <w:b/>
          <w:bCs/>
          <w:kern w:val="2"/>
          <w:sz w:val="30"/>
          <w:szCs w:val="30"/>
        </w:rPr>
        <w:t>5.1</w:t>
      </w:r>
      <w:r>
        <w:rPr>
          <w:rFonts w:asciiTheme="minorHAnsi" w:hAnsiTheme="minorHAnsi" w:eastAsiaTheme="minorEastAsia" w:cstheme="minorBidi"/>
          <w:b/>
          <w:bCs/>
          <w:kern w:val="2"/>
          <w:sz w:val="30"/>
          <w:szCs w:val="30"/>
        </w:rPr>
        <w:t>核心技术特征</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"奶立方"智能奶粉冲调中心作为一款面向现代家庭的高精度自动化设备，其核心技术特征体现在精准进给装置、智能软件生态、高效自清洁系统、全链条集成化设计以及多场景适配能力五大维度。</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在奶粉进给环节，创新性地采用"视觉识别+动态补偿"的双重控制策略，通过高分辨率摄像头捕捉奶粉包装特征码，结合云端数据库自动匹配品牌专属冲调参数，有效解决了传统设备仅能适配单一品牌的技术局限。进给机构采用螺旋推进与微振动辅助下料相结合的复合式设计，在保证0.1g级称重精度的同时，攻克了奶粉易结块导致的卡滞难题。</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配套开发的智能App不仅实现远程预约、冲调记录追溯等基础功能，更构建了开放的配方生态——允许医疗机构上传特医奶粉冲调方案，家长可通过医师授权码解锁专业模式，这一设计填补了家庭医疗营养支持的空白。</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自清洁系统的创新体现在"气液双相流"清洁技术的应用，通过优化设计的扇形喷嘴阵列和压缩空气脉冲，实现3分钟内完成管路、混合腔等关键部位的深度清洁，菌落总数控制在10CFU/mL以下，较传统沸水冲洗方案节能67%。整机采用革命性的"全链条集成化"架构，将传统分散的储粉、计量、混合、温控、清洁五大模块集成于仅0.12m³的密闭空间，通过仿生学流道设计使内部管路总长缩短42%，不仅大幅降低故障率，更使设备体积达到行业最小化。</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特别值得注意的是，该系统的场景拓展能力突破传统母婴设备边界：通过更换可拆卸式料仓与参数预设，可无缝切换至中老年营养粉、运动蛋白粉等细分领域，在家庭健康管理场景中实现"一机多用"的增值服务。</w:t>
      </w:r>
    </w:p>
    <w:p>
      <w:pPr>
        <w:spacing w:line="300" w:lineRule="auto"/>
        <w:ind w:firstLine="600" w:firstLineChars="200"/>
        <w:rPr>
          <w:b/>
          <w:bCs/>
          <w:sz w:val="30"/>
          <w:szCs w:val="30"/>
        </w:rPr>
      </w:pPr>
      <w:r>
        <w:rPr>
          <w:rFonts w:hint="eastAsia"/>
          <w:b/>
          <w:bCs/>
          <w:sz w:val="30"/>
          <w:szCs w:val="30"/>
        </w:rPr>
        <w:t>5.2</w:t>
      </w:r>
      <w:r>
        <w:rPr>
          <w:b/>
          <w:bCs/>
          <w:sz w:val="30"/>
          <w:szCs w:val="30"/>
        </w:rPr>
        <w:t>技术新颖性声明</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自本项目在技术层面实现了多项行业突破，具有明确的创新价值。在精准进给领域，首创"光谱特征+质量流量"双反馈控制系统，通过近红外光谱实时监测奶粉组分变化，联动调整推进电机转速，将不同品牌奶粉的冲调浓度偏差稳定在±0.8%以内，相较瑞士BabyNes系统的±2.5%有显著提升，。App生态建设方面，开发的配方数字版权管理（DRM）机制属行业首次应用，采用区块链技术存储和验证医疗配方，确保专业营养方案的安全流转。自清洁系统的技术突破体现在创造性引入医用级过氧化氢雾化杀菌模块，配合负压吸附装置形成闭环净化，经华中科技大学同济医学院检测认证，其对阪崎肠杆菌的杀灭率达99.99%，远超GB 4789.40-2016标准要求。</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全链条集成化设计展现出显著的工程创新，通过拓扑优化算法重构设备内部空间布局，发明的"三轴联动"执行机构用一个伺服电机同时驱动计量、混合、出液三个工序，使运动部件减少58%的同时提升整体可靠性，MTBF（平均无故障时间）突破5000小时大关。在应用场景拓展维度，项目提出的"模块化料仓快换系统"拥有完全自主知识产权，其磁吸式密封接口设计可实现3秒快速更换料仓，并自动识别粉剂类型加载对应程序，这项技术正在与美的集团开展产业化合作。与国内外同类产品相比，"奶立方"首次实现了从单一功能设备向家庭营养中枢的跨越：通过内置的AI营养师模块，系统能根据用户体检数据（需授权接入医院HIS系统）自动推荐个性化冲调方案，这一功能已通过武汉儿童医院的临床可行性验证。</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技术实施路径上，项目组采用"逆向创新"策略，将医疗设备的精度标准与消费电子的用户体验要求深度融合。例如将用于胰岛素泵的微型齿轮泵改进为奶粉定量装置，在保证±0.05mL输液精度的基础上，通过特殊表面处理解决奶粉粘壁问题；又如移植手术室空气净化技术开发的UVC-LED阵列，在民用级成本下实现医疗设备灭菌效果。这些创新不是简单的技术堆砌，而是建立在深度理解中国家庭使用场景基础上的系统重构——包括针对隔代照护设计的语音大字体界面、应对租房场景的可壁挂安装结构等细节创新。项目目前正在开发新一代食品级抗菌复合材料，有望进一步降低核心部件成本并延长设备使用寿命，持续巩固技术领先优势。</w:t>
      </w:r>
    </w:p>
    <w:p>
      <w:pPr>
        <w:spacing w:line="300" w:lineRule="auto"/>
        <w:ind w:firstLine="480" w:firstLineChars="200"/>
        <w:rPr>
          <w:rFonts w:hint="eastAsia" w:asciiTheme="minorEastAsia" w:hAnsiTheme="minorEastAsia"/>
          <w:sz w:val="24"/>
          <w:szCs w:val="32"/>
        </w:rPr>
      </w:pPr>
    </w:p>
    <w:p>
      <w:pPr>
        <w:spacing w:line="300" w:lineRule="auto"/>
        <w:ind w:firstLine="640" w:firstLineChars="200"/>
        <w:rPr>
          <w:b/>
          <w:bCs/>
          <w:sz w:val="32"/>
          <w:szCs w:val="32"/>
        </w:rPr>
      </w:pPr>
      <w:r>
        <w:rPr>
          <w:rFonts w:hint="eastAsia"/>
          <w:b/>
          <w:bCs/>
          <w:sz w:val="32"/>
          <w:szCs w:val="32"/>
        </w:rPr>
        <w:t>六、</w:t>
      </w:r>
      <w:bookmarkStart w:id="2" w:name="_Hlk197637601"/>
      <w:r>
        <w:rPr>
          <w:rFonts w:hint="eastAsia"/>
          <w:b/>
          <w:bCs/>
          <w:sz w:val="32"/>
          <w:szCs w:val="32"/>
        </w:rPr>
        <w:t>应用前景与社会价值</w:t>
      </w:r>
      <w:bookmarkEnd w:id="2"/>
    </w:p>
    <w:p>
      <w:pPr>
        <w:pStyle w:val="16"/>
        <w:spacing w:line="360" w:lineRule="auto"/>
        <w:rPr>
          <w:rFonts w:asciiTheme="minorHAnsi" w:hAnsiTheme="minorHAnsi" w:eastAsiaTheme="minorEastAsia" w:cstheme="minorBidi"/>
          <w:b/>
          <w:bCs/>
          <w:kern w:val="2"/>
          <w:sz w:val="30"/>
          <w:szCs w:val="30"/>
        </w:rPr>
      </w:pPr>
      <w:r>
        <w:rPr>
          <w:rFonts w:hint="eastAsia" w:asciiTheme="minorHAnsi" w:hAnsiTheme="minorHAnsi" w:eastAsiaTheme="minorEastAsia" w:cstheme="minorBidi"/>
          <w:b/>
          <w:bCs/>
          <w:kern w:val="2"/>
          <w:sz w:val="30"/>
          <w:szCs w:val="30"/>
        </w:rPr>
        <w:t>6.1应用前景</w:t>
      </w:r>
    </w:p>
    <w:p>
      <w:pPr>
        <w:pStyle w:val="16"/>
        <w:spacing w:line="360" w:lineRule="auto"/>
        <w:ind w:firstLine="480" w:firstLineChars="200"/>
        <w:rPr>
          <w:rFonts w:asciiTheme="minorEastAsia" w:hAnsiTheme="minorEastAsia" w:eastAsiaTheme="minorEastAsia" w:cstheme="minorBidi"/>
          <w:kern w:val="2"/>
          <w:sz w:val="24"/>
          <w:szCs w:val="32"/>
        </w:rPr>
      </w:pPr>
      <w:r>
        <w:rPr>
          <w:rFonts w:hint="eastAsia" w:asciiTheme="minorEastAsia" w:hAnsiTheme="minorEastAsia" w:eastAsiaTheme="minorEastAsia" w:cstheme="minorBidi"/>
          <w:kern w:val="2"/>
          <w:sz w:val="24"/>
          <w:szCs w:val="32"/>
        </w:rPr>
        <w:t>"奶立方"智能奶粉冲调系统凭借其创新的技术特性和精准的市场定位，展现出多层次、广维度的应用前景。</w:t>
      </w:r>
    </w:p>
    <w:p>
      <w:pPr>
        <w:pStyle w:val="16"/>
        <w:spacing w:line="360" w:lineRule="auto"/>
        <w:ind w:firstLine="480" w:firstLineChars="200"/>
        <w:rPr>
          <w:rFonts w:asciiTheme="minorEastAsia" w:hAnsiTheme="minorEastAsia" w:eastAsiaTheme="minorEastAsia" w:cstheme="minorBidi"/>
          <w:kern w:val="2"/>
          <w:sz w:val="24"/>
          <w:szCs w:val="32"/>
        </w:rPr>
      </w:pPr>
      <w:r>
        <w:rPr>
          <w:rFonts w:hint="eastAsia" w:asciiTheme="minorEastAsia" w:hAnsiTheme="minorEastAsia" w:eastAsiaTheme="minorEastAsia" w:cstheme="minorBidi"/>
          <w:kern w:val="2"/>
          <w:sz w:val="24"/>
          <w:szCs w:val="32"/>
        </w:rPr>
        <w:t>在核心母婴市场领域，该系统将率先切入新生儿家庭这一高需求场景，调研数据显示中国每年新增约1000万新生儿家庭，其中一线城市中高收入家庭对智能育儿设备的接受度已达72%，预计可形成年均45万台的首期市场规模。随着产品功能迭代和成本下探，将进一步渗透至二三线城市的中端市场，通过与母婴连锁渠道的战略合作，三年内有望实现百万级用户覆盖。值得关注的是，该系统特有的医疗适配功能打开了专业医疗机构市场窗口，目前全国3700余家妇幼保健院中，超过60%已开展出院后营养指导服务，却缺乏标准化执行工具，"奶立方"的医疗模式可为早产儿、过敏体质等特殊群体提供院内外无缝衔接的营养支持，这一细分市场的年需求规模约8-12万台。</w:t>
      </w:r>
    </w:p>
    <w:p>
      <w:pPr>
        <w:pStyle w:val="16"/>
        <w:spacing w:line="360" w:lineRule="auto"/>
        <w:ind w:firstLine="480" w:firstLineChars="200"/>
        <w:rPr>
          <w:rFonts w:asciiTheme="minorEastAsia" w:hAnsiTheme="minorEastAsia" w:eastAsiaTheme="minorEastAsia" w:cstheme="minorBidi"/>
          <w:kern w:val="2"/>
          <w:sz w:val="24"/>
          <w:szCs w:val="32"/>
        </w:rPr>
      </w:pPr>
      <w:r>
        <w:rPr>
          <w:rFonts w:hint="eastAsia" w:asciiTheme="minorEastAsia" w:hAnsiTheme="minorEastAsia" w:eastAsiaTheme="minorEastAsia" w:cstheme="minorBidi"/>
          <w:kern w:val="2"/>
          <w:sz w:val="24"/>
          <w:szCs w:val="32"/>
        </w:rPr>
        <w:t>更广阔的应用空间来自健康管理市场的拓展，我国2.6亿老年人口中约15%需要定期营养补充，4500万健身人群对蛋白粉冲调的便捷性需求强烈，通过更换专用料仓和调整参数预设，系统可快速适配这些延伸场景，实现产品生命周期价值最大化。在商业模式创新方面，设备将作为智能家居入口，通过耗材订阅、健康数据服务等增值业务创造持续收益，预计单用户全周期价值可提升3-5倍。</w:t>
      </w:r>
    </w:p>
    <w:p>
      <w:pPr>
        <w:pStyle w:val="16"/>
        <w:spacing w:line="360" w:lineRule="auto"/>
        <w:ind w:firstLine="480" w:firstLineChars="200"/>
        <w:rPr>
          <w:rFonts w:asciiTheme="minorEastAsia" w:hAnsiTheme="minorEastAsia" w:eastAsiaTheme="minorEastAsia" w:cstheme="minorBidi"/>
          <w:kern w:val="2"/>
          <w:sz w:val="24"/>
          <w:szCs w:val="32"/>
        </w:rPr>
      </w:pPr>
      <w:r>
        <w:rPr>
          <w:rFonts w:hint="eastAsia" w:asciiTheme="minorEastAsia" w:hAnsiTheme="minorEastAsia" w:eastAsiaTheme="minorEastAsia" w:cstheme="minorBidi"/>
          <w:kern w:val="2"/>
          <w:sz w:val="24"/>
          <w:szCs w:val="32"/>
        </w:rPr>
        <w:t>国际市场拓展同样前景可期，东南亚、中东等新兴市场对高性价比智能育儿设备需求旺盛。</w:t>
      </w:r>
    </w:p>
    <w:p>
      <w:pPr>
        <w:pStyle w:val="16"/>
        <w:spacing w:line="360" w:lineRule="auto"/>
        <w:rPr>
          <w:rFonts w:asciiTheme="minorHAnsi" w:hAnsiTheme="minorHAnsi" w:eastAsiaTheme="minorEastAsia" w:cstheme="minorBidi"/>
          <w:b/>
          <w:bCs/>
          <w:kern w:val="2"/>
          <w:sz w:val="30"/>
          <w:szCs w:val="30"/>
        </w:rPr>
      </w:pPr>
      <w:r>
        <w:rPr>
          <w:rFonts w:hint="eastAsia" w:asciiTheme="minorHAnsi" w:hAnsiTheme="minorHAnsi" w:eastAsiaTheme="minorEastAsia" w:cstheme="minorBidi"/>
          <w:b/>
          <w:bCs/>
          <w:kern w:val="2"/>
          <w:sz w:val="30"/>
          <w:szCs w:val="30"/>
        </w:rPr>
        <w:t>6.2社会价值</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本项目的推广实施将产生显著的社会效益，在健康促进、家庭福祉、产业升级等多个维度形成积极影响。</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在公共健康层面，系统提供的精准营养配给可有效改善婴幼儿喂养质量，临床研究表明规范冲调能使营养吸收率提升18-22%，对预防婴幼儿贫血、消化不良等常见问题具有积极作用。针对我国农村地区仍存在的"过浓冲调"陋习，设备的智能锁定功能可强制遵循标准比例，这一特性已引起国家卫健委相关部门的关注，未来可能纳入"农村婴幼儿营养改善计划"采购目录。</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在家庭维度，产品将大幅减轻育儿负担，测算显示全自动冲调每年可为双职工家庭节省约180小时的育儿时间，特别有助于缓解新生代父母的焦虑情绪，华中科技大学社会学院跟踪调查显示，使用智能育儿设备的家庭育儿压力指数降低27%。</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在特殊群体关怀方面，系统开发的视障模式通过语音引导和触觉标识，使视障父母也能独立完成冲调操作，这一人性化设计获得中国残疾人福利基金会的高度评价。</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从产业发展角度看，项目将带动本土供应链升级，推动关键零部件国产化进程。项目创造的"智能硬件+健康服务"新模式，为传统家电制造业转型提供示范，已有3家上市公司表达技术合作意向。在科研价值方面，系统积累的千万级冲调数据将形成全球首个婴幼儿喂养行为数据库，为营养学研究提供宝贵资源。环境效益同样不可忽视，相比传统冲调方式，设备优化的能源管理系统可使单次冲调节水30ml、节电0.02度，按百万台规模计算年节水量可达10万吨，契合国家绿色家电政策导向。</w:t>
      </w:r>
    </w:p>
    <w:p>
      <w:pPr>
        <w:spacing w:line="300" w:lineRule="auto"/>
        <w:ind w:firstLine="480" w:firstLineChars="200"/>
        <w:rPr>
          <w:rFonts w:asciiTheme="minorEastAsia" w:hAnsiTheme="minorEastAsia"/>
          <w:sz w:val="24"/>
          <w:szCs w:val="32"/>
        </w:rPr>
      </w:pPr>
      <w:r>
        <w:rPr>
          <w:rFonts w:hint="eastAsia" w:asciiTheme="minorEastAsia" w:hAnsiTheme="minorEastAsia"/>
          <w:sz w:val="24"/>
          <w:szCs w:val="32"/>
        </w:rPr>
        <w:t>更具深远意义的是，项目通过技术手段缩小城乡育儿质量差距，当设备通过政府补贴进入县域市场后，可使农村家庭享受到与城市同等标准的科学喂养服务，这一普惠性特征使其成为科技赋能民生改善的典型案例。随着产品迭代和生态完善，"奶立方"有望从单一设备发展为家庭健康管理中心，持续创造多维度的社会价值，真正实现"科技让育儿更科学，让关爱更精准"的项目愿景</w:t>
      </w:r>
    </w:p>
    <w:p>
      <w:pPr>
        <w:spacing w:line="300" w:lineRule="auto"/>
        <w:ind w:firstLine="480" w:firstLineChars="200"/>
        <w:rPr>
          <w:rFonts w:hint="eastAsia" w:asciiTheme="minorEastAsia" w:hAnsiTheme="minorEastAsia"/>
          <w:sz w:val="24"/>
          <w:szCs w:val="32"/>
        </w:rPr>
      </w:pPr>
    </w:p>
    <w:p>
      <w:pPr>
        <w:rPr>
          <w:b/>
          <w:bCs/>
          <w:sz w:val="32"/>
          <w:szCs w:val="32"/>
        </w:rPr>
      </w:pPr>
      <w:r>
        <w:rPr>
          <w:rFonts w:hint="eastAsia"/>
          <w:b/>
          <w:bCs/>
          <w:sz w:val="32"/>
          <w:szCs w:val="32"/>
        </w:rPr>
        <w:t>七、</w:t>
      </w:r>
      <w:bookmarkStart w:id="3" w:name="_Hlk197637641"/>
      <w:r>
        <w:rPr>
          <w:rFonts w:hint="eastAsia"/>
          <w:b/>
          <w:bCs/>
          <w:sz w:val="32"/>
          <w:szCs w:val="32"/>
        </w:rPr>
        <w:t>存在问题与改进方向</w:t>
      </w:r>
      <w:bookmarkEnd w:id="3"/>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当前项目在技术验证和市场推广过程中仍面临若干关键挑战，需要在后续研发中重点突破。在用户体验层面，设备运行时的噪音控制尚未达到理想水平，实测显示螺旋推进装置在夜间安静环境下会产生45分贝左右的声响，对浅睡眠婴儿可能造成干扰，改进方向包括采用聚氨酯减震材料和优化齿轮传动比以降低振动噪音。粉末处理系统存在品牌适配瓶颈，虽然已支持200余种常见奶粉，但对部分特殊配方（如高蛋白水解奶粉）的流动性差异仍会导致计量误差波动，拟引入深度学习算法建立粉末物性动态补偿模型，通过增加压力传感器和流变仪反馈实时调整下料参数。</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成本控制是制约产品普及的重要障碍，目前样机的BOM成本中进口传感器占比高达32%，正在开发基于MEMS技术的替代方案，预计量产后可降低核心部件成本60%。市场教育方面，消费者对自动冲调设备的卫生安全性仍存疑虑，尤其对自清洁效果的直观感知不足，计划在下一代产品中增加UV-C杀菌状态指示灯和手机App清洁过程可视化功能，同时寻求通过第三方权威机构认证增强公信力。</w:t>
      </w:r>
    </w:p>
    <w:p>
      <w:pPr>
        <w:spacing w:line="300" w:lineRule="auto"/>
        <w:ind w:firstLine="480" w:firstLineChars="200"/>
        <w:rPr>
          <w:rFonts w:hint="eastAsia" w:asciiTheme="minorEastAsia" w:hAnsiTheme="minorEastAsia"/>
          <w:sz w:val="24"/>
          <w:szCs w:val="32"/>
        </w:rPr>
      </w:pPr>
      <w:r>
        <w:rPr>
          <w:rFonts w:hint="eastAsia" w:asciiTheme="minorEastAsia" w:hAnsiTheme="minorEastAsia"/>
          <w:sz w:val="24"/>
          <w:szCs w:val="32"/>
        </w:rPr>
        <w:t>供应链管理暴露出关键零部件良率不稳定的问题，特别是食品级抗菌密封圈的批次合格率仅为83%，亟需改进注塑工艺参数并建立更严格的质量追溯体系。在商业模式创新上，当前的耗材订阅服务用户粘性不足，数据显示仅28%的用户会持续购买原厂清洁套装，考虑开发智能耗材识别技术并拓展第三方健康服务内容（如成长曲线分析、营养师在线咨询）来提升用户留存。针对特殊群体的人机交互仍需深化，老年用户测试中暴露出语音指令识别率在方言环境下显著下降的问题，需扩充语音库方言样本并增加触觉反馈强度。这些改进方向的实施将分阶段推进，部分解决方案已进入工程验证阶段，预计通过持续迭代可在12-18个月内实现产品成熟度的显著提升。</w:t>
      </w:r>
    </w:p>
    <w:p>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大标宋简体">
    <w:altName w:val="黑体"/>
    <w:panose1 w:val="00000000000000000000"/>
    <w:charset w:val="86"/>
    <w:family w:val="script"/>
    <w:pitch w:val="default"/>
    <w:sig w:usb0="00000000" w:usb1="00000000" w:usb2="00000010" w:usb3="00000000" w:csb0="00040000" w:csb1="00000000"/>
  </w:font>
  <w:font w:name="HYZhongHeiKW">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3462956"/>
      <w:docPartObj>
        <w:docPartGallery w:val="autotext"/>
      </w:docPartObj>
    </w:sdtPr>
    <w:sdtContent>
      <w:sdt>
        <w:sdtPr>
          <w:id w:val="1728636285"/>
          <w:docPartObj>
            <w:docPartGallery w:val="autotext"/>
          </w:docPartObj>
        </w:sdtPr>
        <w:sdtContent>
          <w:p>
            <w:pPr>
              <w:pStyle w:val="12"/>
              <w:jc w:val="center"/>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32A0DB"/>
    <w:multiLevelType w:val="singleLevel"/>
    <w:tmpl w:val="F332A0DB"/>
    <w:lvl w:ilvl="0" w:tentative="0">
      <w:start w:val="1"/>
      <w:numFmt w:val="bullet"/>
      <w:lvlText w:val=""/>
      <w:lvlJc w:val="left"/>
      <w:pPr>
        <w:ind w:left="420" w:hanging="420"/>
      </w:pPr>
      <w:rPr>
        <w:rFonts w:hint="default" w:ascii="Wingdings" w:hAnsi="Wingdings"/>
      </w:rPr>
    </w:lvl>
  </w:abstractNum>
  <w:abstractNum w:abstractNumId="1">
    <w:nsid w:val="3971730C"/>
    <w:multiLevelType w:val="multilevel"/>
    <w:tmpl w:val="3971730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517B5244"/>
    <w:multiLevelType w:val="singleLevel"/>
    <w:tmpl w:val="517B5244"/>
    <w:lvl w:ilvl="0" w:tentative="0">
      <w:start w:val="1"/>
      <w:numFmt w:val="bullet"/>
      <w:lvlText w:val=""/>
      <w:lvlJc w:val="left"/>
      <w:pPr>
        <w:ind w:left="420" w:hanging="420"/>
      </w:pPr>
      <w:rPr>
        <w:rFonts w:hint="default" w:ascii="Wingdings" w:hAnsi="Wingdings"/>
      </w:rPr>
    </w:lvl>
  </w:abstractNum>
  <w:abstractNum w:abstractNumId="3">
    <w:nsid w:val="740C3523"/>
    <w:multiLevelType w:val="multilevel"/>
    <w:tmpl w:val="740C352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2"/>
  </w:compat>
  <w:rsids>
    <w:rsidRoot w:val="00FD2DC4"/>
    <w:rsid w:val="00285390"/>
    <w:rsid w:val="003111DE"/>
    <w:rsid w:val="003121B5"/>
    <w:rsid w:val="003B3885"/>
    <w:rsid w:val="005A65DF"/>
    <w:rsid w:val="00693AB9"/>
    <w:rsid w:val="006A5516"/>
    <w:rsid w:val="007C3F79"/>
    <w:rsid w:val="00813D9A"/>
    <w:rsid w:val="00831261"/>
    <w:rsid w:val="008E7170"/>
    <w:rsid w:val="00D16334"/>
    <w:rsid w:val="00E47225"/>
    <w:rsid w:val="00E51EA4"/>
    <w:rsid w:val="00FD2DC4"/>
    <w:rsid w:val="3DEC1B01"/>
    <w:rsid w:val="6BEC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22"/>
    <w:qFormat/>
    <w:uiPriority w:val="0"/>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0F4761" w:themeColor="accent1" w:themeShade="BF"/>
      <w:sz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0F4761"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29"/>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85858" w:themeColor="text1" w:themeTint="A6"/>
    </w:rPr>
  </w:style>
  <w:style w:type="character" w:default="1" w:styleId="20">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footer"/>
    <w:basedOn w:val="1"/>
    <w:link w:val="42"/>
    <w:unhideWhenUsed/>
    <w:uiPriority w:val="99"/>
    <w:pPr>
      <w:tabs>
        <w:tab w:val="center" w:pos="4153"/>
        <w:tab w:val="right" w:pos="8306"/>
      </w:tabs>
      <w:snapToGrid w:val="0"/>
      <w:jc w:val="left"/>
    </w:pPr>
    <w:rPr>
      <w:sz w:val="18"/>
      <w:szCs w:val="18"/>
    </w:rPr>
  </w:style>
  <w:style w:type="paragraph" w:styleId="13">
    <w:name w:val="header"/>
    <w:basedOn w:val="1"/>
    <w:link w:val="41"/>
    <w:unhideWhenUsed/>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tabs>
        <w:tab w:val="left" w:pos="1050"/>
        <w:tab w:val="right" w:leader="dot" w:pos="8296"/>
      </w:tabs>
    </w:pPr>
    <w:rPr>
      <w:b/>
      <w:sz w:val="28"/>
      <w:szCs w:val="28"/>
    </w:rPr>
  </w:style>
  <w:style w:type="paragraph" w:styleId="15">
    <w:name w:val="Subtitle"/>
    <w:basedOn w:val="1"/>
    <w:next w:val="1"/>
    <w:link w:val="32"/>
    <w:qFormat/>
    <w:uiPriority w:val="0"/>
    <w:pPr>
      <w:spacing w:after="160"/>
      <w:jc w:val="center"/>
    </w:pPr>
    <w:rPr>
      <w:rFonts w:asciiTheme="majorHAnsi" w:hAnsiTheme="majorHAnsi" w:eastAsiaTheme="majorEastAsia" w:cstheme="majorBidi"/>
      <w:color w:val="585858" w:themeColor="text1" w:themeTint="A6"/>
      <w:spacing w:val="15"/>
      <w:sz w:val="28"/>
      <w:szCs w:val="28"/>
    </w:rPr>
  </w:style>
  <w:style w:type="paragraph" w:styleId="16">
    <w:name w:val="HTML Preformatted"/>
    <w:basedOn w:val="1"/>
    <w:link w:val="4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kern w:val="0"/>
      <w:sz w:val="20"/>
      <w:szCs w:val="20"/>
    </w:rPr>
  </w:style>
  <w:style w:type="paragraph" w:styleId="1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rPr>
  </w:style>
  <w:style w:type="paragraph" w:styleId="18">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1">
    <w:name w:val="Strong"/>
    <w:basedOn w:val="20"/>
    <w:qFormat/>
    <w:uiPriority w:val="22"/>
    <w:rPr>
      <w:b/>
    </w:rPr>
  </w:style>
  <w:style w:type="character" w:customStyle="1" w:styleId="22">
    <w:name w:val="标题 1 字符"/>
    <w:basedOn w:val="20"/>
    <w:link w:val="2"/>
    <w:uiPriority w:val="0"/>
    <w:rPr>
      <w:rFonts w:asciiTheme="majorHAnsi" w:hAnsiTheme="majorHAnsi" w:eastAsiaTheme="majorEastAsia" w:cstheme="majorBidi"/>
      <w:color w:val="0F4761" w:themeColor="accent1" w:themeShade="BF"/>
      <w:sz w:val="48"/>
      <w:szCs w:val="48"/>
    </w:rPr>
  </w:style>
  <w:style w:type="character" w:customStyle="1" w:styleId="23">
    <w:name w:val="标题 2 字符"/>
    <w:basedOn w:val="20"/>
    <w:link w:val="3"/>
    <w:semiHidden/>
    <w:qFormat/>
    <w:uiPriority w:val="9"/>
    <w:rPr>
      <w:rFonts w:asciiTheme="majorHAnsi" w:hAnsiTheme="majorHAnsi" w:eastAsiaTheme="majorEastAsia" w:cstheme="majorBidi"/>
      <w:color w:val="0F4761" w:themeColor="accent1" w:themeShade="BF"/>
      <w:sz w:val="40"/>
      <w:szCs w:val="40"/>
    </w:rPr>
  </w:style>
  <w:style w:type="character" w:customStyle="1" w:styleId="24">
    <w:name w:val="标题 3 字符"/>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25">
    <w:name w:val="标题 4 字符"/>
    <w:basedOn w:val="20"/>
    <w:link w:val="5"/>
    <w:semiHidden/>
    <w:qFormat/>
    <w:uiPriority w:val="9"/>
    <w:rPr>
      <w:rFonts w:cstheme="majorBidi"/>
      <w:color w:val="0F4761" w:themeColor="accent1" w:themeShade="BF"/>
      <w:sz w:val="28"/>
      <w:szCs w:val="28"/>
    </w:rPr>
  </w:style>
  <w:style w:type="character" w:customStyle="1" w:styleId="26">
    <w:name w:val="标题 5 字符"/>
    <w:basedOn w:val="20"/>
    <w:link w:val="6"/>
    <w:semiHidden/>
    <w:qFormat/>
    <w:uiPriority w:val="9"/>
    <w:rPr>
      <w:rFonts w:cstheme="majorBidi"/>
      <w:color w:val="0F4761" w:themeColor="accent1" w:themeShade="BF"/>
      <w:sz w:val="24"/>
      <w:szCs w:val="24"/>
    </w:rPr>
  </w:style>
  <w:style w:type="character" w:customStyle="1" w:styleId="27">
    <w:name w:val="标题 6 字符"/>
    <w:basedOn w:val="20"/>
    <w:link w:val="7"/>
    <w:semiHidden/>
    <w:qFormat/>
    <w:uiPriority w:val="9"/>
    <w:rPr>
      <w:rFonts w:cstheme="majorBidi"/>
      <w:b/>
      <w:bCs/>
      <w:color w:val="0F4761" w:themeColor="accent1" w:themeShade="BF"/>
    </w:rPr>
  </w:style>
  <w:style w:type="character" w:customStyle="1" w:styleId="28">
    <w:name w:val="标题 7 字符"/>
    <w:basedOn w:val="20"/>
    <w:link w:val="8"/>
    <w:semiHidden/>
    <w:qFormat/>
    <w:uiPriority w:val="9"/>
    <w:rPr>
      <w:rFonts w:cstheme="majorBidi"/>
      <w:b/>
      <w:bCs/>
      <w:color w:val="585858" w:themeColor="text1" w:themeTint="A6"/>
    </w:rPr>
  </w:style>
  <w:style w:type="character" w:customStyle="1" w:styleId="29">
    <w:name w:val="标题 8 字符"/>
    <w:basedOn w:val="20"/>
    <w:link w:val="9"/>
    <w:semiHidden/>
    <w:uiPriority w:val="9"/>
    <w:rPr>
      <w:rFonts w:cstheme="majorBidi"/>
      <w:color w:val="585858" w:themeColor="text1" w:themeTint="A6"/>
    </w:rPr>
  </w:style>
  <w:style w:type="character" w:customStyle="1" w:styleId="30">
    <w:name w:val="标题 9 字符"/>
    <w:basedOn w:val="20"/>
    <w:link w:val="10"/>
    <w:semiHidden/>
    <w:uiPriority w:val="9"/>
    <w:rPr>
      <w:rFonts w:eastAsiaTheme="majorEastAsia" w:cstheme="majorBidi"/>
      <w:color w:val="585858" w:themeColor="text1" w:themeTint="A6"/>
    </w:rPr>
  </w:style>
  <w:style w:type="character" w:customStyle="1" w:styleId="31">
    <w:name w:val="标题 字符"/>
    <w:basedOn w:val="20"/>
    <w:link w:val="18"/>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5"/>
    <w:uiPriority w:val="0"/>
    <w:rPr>
      <w:rFonts w:asciiTheme="majorHAnsi" w:hAnsiTheme="majorHAnsi" w:eastAsiaTheme="majorEastAsia" w:cstheme="majorBidi"/>
      <w:color w:val="585858" w:themeColor="text1" w:themeTint="A6"/>
      <w:spacing w:val="15"/>
      <w:sz w:val="28"/>
      <w:szCs w:val="28"/>
    </w:rPr>
  </w:style>
  <w:style w:type="paragraph" w:styleId="33">
    <w:name w:val="Quote"/>
    <w:basedOn w:val="1"/>
    <w:next w:val="1"/>
    <w:link w:val="34"/>
    <w:qFormat/>
    <w:uiPriority w:val="29"/>
    <w:pPr>
      <w:spacing w:before="160" w:after="160"/>
      <w:jc w:val="center"/>
    </w:pPr>
    <w:rPr>
      <w:i/>
      <w:iCs/>
      <w:color w:val="3F3F3F" w:themeColor="text1" w:themeTint="BF"/>
    </w:rPr>
  </w:style>
  <w:style w:type="character" w:customStyle="1" w:styleId="34">
    <w:name w:val="引用 字符"/>
    <w:basedOn w:val="20"/>
    <w:link w:val="33"/>
    <w:uiPriority w:val="29"/>
    <w:rPr>
      <w:i/>
      <w:iCs/>
      <w:color w:val="3F3F3F" w:themeColor="text1" w:themeTint="BF"/>
    </w:rPr>
  </w:style>
  <w:style w:type="paragraph" w:styleId="35">
    <w:name w:val="List Paragraph"/>
    <w:basedOn w:val="1"/>
    <w:qFormat/>
    <w:uiPriority w:val="34"/>
    <w:pPr>
      <w:ind w:left="720"/>
      <w:contextualSpacing/>
    </w:pPr>
  </w:style>
  <w:style w:type="character" w:customStyle="1" w:styleId="36">
    <w:name w:val="Intense Emphasis"/>
    <w:basedOn w:val="20"/>
    <w:qFormat/>
    <w:uiPriority w:val="21"/>
    <w:rPr>
      <w:i/>
      <w:iCs/>
      <w:color w:val="0F4761"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8">
    <w:name w:val="明显引用 字符"/>
    <w:basedOn w:val="20"/>
    <w:link w:val="37"/>
    <w:uiPriority w:val="30"/>
    <w:rPr>
      <w:i/>
      <w:iCs/>
      <w:color w:val="0F4761" w:themeColor="accent1" w:themeShade="BF"/>
    </w:rPr>
  </w:style>
  <w:style w:type="character" w:customStyle="1" w:styleId="39">
    <w:name w:val="Intense Reference"/>
    <w:basedOn w:val="20"/>
    <w:qFormat/>
    <w:uiPriority w:val="32"/>
    <w:rPr>
      <w:b/>
      <w:bCs/>
      <w:smallCaps/>
      <w:color w:val="0F4761" w:themeColor="accent1" w:themeShade="BF"/>
      <w:spacing w:val="5"/>
    </w:rPr>
  </w:style>
  <w:style w:type="character" w:customStyle="1" w:styleId="40">
    <w:name w:val="HTML 预设格式 字符"/>
    <w:basedOn w:val="20"/>
    <w:link w:val="16"/>
    <w:uiPriority w:val="0"/>
    <w:rPr>
      <w:rFonts w:ascii="黑体" w:hAnsi="Courier New" w:eastAsia="黑体" w:cs="Courier New"/>
      <w:kern w:val="0"/>
      <w:sz w:val="20"/>
      <w:szCs w:val="20"/>
    </w:rPr>
  </w:style>
  <w:style w:type="character" w:customStyle="1" w:styleId="41">
    <w:name w:val="页眉 字符"/>
    <w:basedOn w:val="20"/>
    <w:link w:val="13"/>
    <w:uiPriority w:val="99"/>
    <w:rPr>
      <w:sz w:val="18"/>
      <w:szCs w:val="18"/>
    </w:rPr>
  </w:style>
  <w:style w:type="character" w:customStyle="1" w:styleId="42">
    <w:name w:val="页脚 字符"/>
    <w:basedOn w:val="20"/>
    <w:link w:val="1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4364</Words>
  <Characters>4932</Characters>
  <Lines>616</Lines>
  <Paragraphs>715</Paragraphs>
  <TotalTime>2</TotalTime>
  <ScaleCrop>false</ScaleCrop>
  <LinksUpToDate>false</LinksUpToDate>
  <CharactersWithSpaces>8581</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2025-05-21T09:41:00Z</dcterms:created>
  <dc:creator>盈松 李</dc:creator>
  <cp:lastModifiedBy>微信用户</cp:lastModifiedBy>
  <dcterms:modified xsi:type="dcterms:W3CDTF">2025-07-27T06:57:29Z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CEB90420E10E473D8BAFF232E7685D3F</vt:lpwstr>
  </property>
</Properties>
</file>