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E6C71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4F069AA9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90"/>
        <w:gridCol w:w="6750"/>
      </w:tblGrid>
      <w:tr w14:paraId="47ABA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90" w:type="dxa"/>
            <w:vAlign w:val="top"/>
          </w:tcPr>
          <w:p w14:paraId="5F8E58FE">
            <w:pPr>
              <w:pStyle w:val="6"/>
              <w:spacing w:before="214" w:line="221" w:lineRule="auto"/>
              <w:ind w:left="122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750" w:type="dxa"/>
            <w:vAlign w:val="top"/>
          </w:tcPr>
          <w:p w14:paraId="0DB448DA">
            <w:pPr>
              <w:pStyle w:val="6"/>
              <w:spacing w:before="214" w:line="220" w:lineRule="auto"/>
              <w:ind w:left="138"/>
              <w:rPr>
                <w:sz w:val="28"/>
                <w:szCs w:val="28"/>
              </w:rPr>
            </w:pPr>
            <w:r>
              <w:rPr>
                <w:spacing w:val="-11"/>
                <w:sz w:val="28"/>
                <w:szCs w:val="28"/>
              </w:rPr>
              <w:t>网约车</w:t>
            </w:r>
          </w:p>
        </w:tc>
      </w:tr>
      <w:tr w14:paraId="4C18AF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90" w:type="dxa"/>
            <w:vAlign w:val="top"/>
          </w:tcPr>
          <w:p w14:paraId="2F69C994">
            <w:pPr>
              <w:pStyle w:val="6"/>
              <w:spacing w:before="173" w:line="220" w:lineRule="auto"/>
              <w:ind w:left="122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工单编号</w:t>
            </w:r>
          </w:p>
        </w:tc>
        <w:tc>
          <w:tcPr>
            <w:tcW w:w="6750" w:type="dxa"/>
            <w:vAlign w:val="top"/>
          </w:tcPr>
          <w:p w14:paraId="3D41028F">
            <w:pPr>
              <w:pStyle w:val="6"/>
              <w:spacing w:before="173" w:line="220" w:lineRule="auto"/>
              <w:ind w:left="116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全栈开发-网约车-GVA</w:t>
            </w:r>
            <w:r>
              <w:rPr>
                <w:spacing w:val="-51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框架优化</w:t>
            </w:r>
          </w:p>
        </w:tc>
      </w:tr>
      <w:tr w14:paraId="704314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90" w:type="dxa"/>
            <w:vAlign w:val="top"/>
          </w:tcPr>
          <w:p w14:paraId="3916271B">
            <w:pPr>
              <w:pStyle w:val="6"/>
              <w:spacing w:before="174" w:line="221" w:lineRule="auto"/>
              <w:ind w:left="118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创建时间</w:t>
            </w:r>
          </w:p>
        </w:tc>
        <w:tc>
          <w:tcPr>
            <w:tcW w:w="6750" w:type="dxa"/>
            <w:vAlign w:val="top"/>
          </w:tcPr>
          <w:p w14:paraId="2C5921E1">
            <w:pPr>
              <w:pStyle w:val="6"/>
              <w:spacing w:before="174"/>
              <w:ind w:left="120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2025-09</w:t>
            </w:r>
          </w:p>
        </w:tc>
      </w:tr>
      <w:tr w14:paraId="1D13BA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90" w:type="dxa"/>
            <w:vAlign w:val="top"/>
          </w:tcPr>
          <w:p w14:paraId="7E53BEBE">
            <w:pPr>
              <w:pStyle w:val="6"/>
              <w:spacing w:before="175" w:line="221" w:lineRule="auto"/>
              <w:ind w:left="118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创建人</w:t>
            </w:r>
          </w:p>
        </w:tc>
        <w:tc>
          <w:tcPr>
            <w:tcW w:w="6750" w:type="dxa"/>
            <w:vAlign w:val="top"/>
          </w:tcPr>
          <w:p w14:paraId="517935D9">
            <w:pPr>
              <w:pStyle w:val="6"/>
              <w:spacing w:before="175" w:line="219" w:lineRule="auto"/>
              <w:ind w:left="12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邹世军</w:t>
            </w:r>
          </w:p>
        </w:tc>
      </w:tr>
    </w:tbl>
    <w:p w14:paraId="57CD7B58">
      <w:pPr>
        <w:pStyle w:val="2"/>
        <w:spacing w:line="322" w:lineRule="auto"/>
      </w:pPr>
    </w:p>
    <w:p w14:paraId="70CA9D57">
      <w:pPr>
        <w:pStyle w:val="2"/>
        <w:spacing w:line="322" w:lineRule="auto"/>
      </w:pPr>
    </w:p>
    <w:p w14:paraId="10F7CED6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7B23E50B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5AC0F2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5" w:hRule="atLeast"/>
        </w:trPr>
        <w:tc>
          <w:tcPr>
            <w:tcW w:w="1555" w:type="dxa"/>
            <w:vAlign w:val="top"/>
          </w:tcPr>
          <w:p w14:paraId="0E4B7737">
            <w:pPr>
              <w:spacing w:line="249" w:lineRule="auto"/>
              <w:rPr>
                <w:rFonts w:ascii="Arial"/>
                <w:sz w:val="21"/>
              </w:rPr>
            </w:pPr>
          </w:p>
          <w:p w14:paraId="3677819E">
            <w:pPr>
              <w:spacing w:line="249" w:lineRule="auto"/>
              <w:rPr>
                <w:rFonts w:ascii="Arial"/>
                <w:sz w:val="21"/>
              </w:rPr>
            </w:pPr>
          </w:p>
          <w:p w14:paraId="50FDE50D">
            <w:pPr>
              <w:spacing w:line="249" w:lineRule="auto"/>
              <w:rPr>
                <w:rFonts w:ascii="Arial"/>
                <w:sz w:val="21"/>
              </w:rPr>
            </w:pPr>
          </w:p>
          <w:p w14:paraId="4871CC62">
            <w:pPr>
              <w:spacing w:line="249" w:lineRule="auto"/>
              <w:rPr>
                <w:rFonts w:ascii="Arial"/>
                <w:sz w:val="21"/>
              </w:rPr>
            </w:pPr>
          </w:p>
          <w:p w14:paraId="5A04EF84">
            <w:pPr>
              <w:spacing w:line="250" w:lineRule="auto"/>
              <w:rPr>
                <w:rFonts w:ascii="Arial"/>
                <w:sz w:val="21"/>
              </w:rPr>
            </w:pPr>
          </w:p>
          <w:p w14:paraId="59CAC5F5">
            <w:pPr>
              <w:spacing w:line="250" w:lineRule="auto"/>
              <w:rPr>
                <w:rFonts w:ascii="Arial"/>
                <w:sz w:val="21"/>
              </w:rPr>
            </w:pPr>
          </w:p>
          <w:p w14:paraId="71867EDF">
            <w:pPr>
              <w:spacing w:line="250" w:lineRule="auto"/>
              <w:rPr>
                <w:rFonts w:ascii="Arial"/>
                <w:sz w:val="21"/>
              </w:rPr>
            </w:pPr>
          </w:p>
          <w:p w14:paraId="33FFB179">
            <w:pPr>
              <w:spacing w:line="250" w:lineRule="auto"/>
              <w:rPr>
                <w:rFonts w:ascii="Arial"/>
                <w:sz w:val="21"/>
              </w:rPr>
            </w:pPr>
          </w:p>
          <w:p w14:paraId="454F8A38">
            <w:pPr>
              <w:spacing w:line="250" w:lineRule="auto"/>
              <w:rPr>
                <w:rFonts w:ascii="Arial"/>
                <w:sz w:val="21"/>
              </w:rPr>
            </w:pPr>
          </w:p>
          <w:p w14:paraId="550B9782">
            <w:pPr>
              <w:spacing w:line="250" w:lineRule="auto"/>
              <w:rPr>
                <w:rFonts w:ascii="Arial"/>
                <w:sz w:val="21"/>
              </w:rPr>
            </w:pPr>
          </w:p>
          <w:p w14:paraId="1ECC50D9">
            <w:pPr>
              <w:spacing w:line="250" w:lineRule="auto"/>
              <w:rPr>
                <w:rFonts w:ascii="Arial"/>
                <w:sz w:val="21"/>
              </w:rPr>
            </w:pPr>
          </w:p>
          <w:p w14:paraId="586CA131">
            <w:pPr>
              <w:spacing w:line="250" w:lineRule="auto"/>
              <w:rPr>
                <w:rFonts w:ascii="Arial"/>
                <w:sz w:val="21"/>
              </w:rPr>
            </w:pPr>
          </w:p>
          <w:p w14:paraId="0D990A09">
            <w:pPr>
              <w:spacing w:line="250" w:lineRule="auto"/>
              <w:rPr>
                <w:rFonts w:ascii="Arial"/>
                <w:sz w:val="21"/>
              </w:rPr>
            </w:pPr>
          </w:p>
          <w:p w14:paraId="596D13E2">
            <w:pPr>
              <w:spacing w:line="250" w:lineRule="auto"/>
              <w:rPr>
                <w:rFonts w:ascii="Arial"/>
                <w:sz w:val="21"/>
              </w:rPr>
            </w:pPr>
          </w:p>
          <w:p w14:paraId="63AF5336">
            <w:pPr>
              <w:pStyle w:val="6"/>
              <w:spacing w:before="91" w:line="220" w:lineRule="auto"/>
              <w:ind w:left="225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任务描述</w:t>
            </w:r>
          </w:p>
        </w:tc>
        <w:tc>
          <w:tcPr>
            <w:tcW w:w="8411" w:type="dxa"/>
            <w:vAlign w:val="top"/>
          </w:tcPr>
          <w:p w14:paraId="06608E89">
            <w:pPr>
              <w:pStyle w:val="6"/>
              <w:spacing w:before="135" w:line="432" w:lineRule="auto"/>
              <w:ind w:left="114" w:right="7150" w:firstLine="12"/>
            </w:pPr>
            <w:r>
              <w:rPr>
                <w:spacing w:val="2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任务描述</w:t>
            </w:r>
            <w:r>
              <w:t xml:space="preserve"> </w:t>
            </w:r>
            <w:r>
              <w:rPr>
                <w:spacing w:val="6"/>
              </w:rPr>
              <w:t>背景介绍</w:t>
            </w:r>
          </w:p>
          <w:p w14:paraId="30B4C315">
            <w:pPr>
              <w:pStyle w:val="6"/>
              <w:spacing w:line="432" w:lineRule="auto"/>
              <w:ind w:left="110" w:right="109" w:firstLine="14"/>
              <w:jc w:val="both"/>
            </w:pPr>
            <w:r>
              <w:rPr>
                <w:spacing w:val="10"/>
              </w:rPr>
              <w:t>当前网约车司机端涉及订单管理、实时抢单、</w:t>
            </w:r>
            <w:r>
              <w:rPr>
                <w:spacing w:val="9"/>
              </w:rPr>
              <w:t>费用结算等高并发场景，对权限与菜单的动</w:t>
            </w:r>
            <w:r>
              <w:t xml:space="preserve"> </w:t>
            </w:r>
            <w:r>
              <w:rPr>
                <w:spacing w:val="7"/>
              </w:rPr>
              <w:t xml:space="preserve">态加载、路由分发与审计留痕、多数据源访问一致性要求较高。基于 </w:t>
            </w:r>
            <w:r>
              <w:t>GVA</w:t>
            </w:r>
            <w:r>
              <w:rPr>
                <w:spacing w:val="7"/>
              </w:rPr>
              <w:t xml:space="preserve"> 框架进行源码级</w:t>
            </w:r>
            <w:r>
              <w:rPr>
                <w:spacing w:val="12"/>
              </w:rPr>
              <w:t xml:space="preserve"> </w:t>
            </w:r>
            <w:r>
              <w:rPr>
                <w:spacing w:val="10"/>
              </w:rPr>
              <w:t>优化与能力增强，将围绕权限认证、动态路由、多数据源切换、设计模式沉淀</w:t>
            </w:r>
            <w:r>
              <w:rPr>
                <w:spacing w:val="9"/>
              </w:rPr>
              <w:t>及调度平台</w:t>
            </w:r>
            <w:r>
              <w:t xml:space="preserve"> </w:t>
            </w:r>
            <w:r>
              <w:rPr>
                <w:spacing w:val="10"/>
              </w:rPr>
              <w:t>接入展开，形成可度量与可复用的工程实践，沉淀为团队级范式与模板，提高</w:t>
            </w:r>
            <w:r>
              <w:rPr>
                <w:spacing w:val="9"/>
              </w:rPr>
              <w:t>可维护性与</w:t>
            </w:r>
            <w:r>
              <w:t xml:space="preserve"> </w:t>
            </w:r>
            <w:r>
              <w:rPr>
                <w:spacing w:val="8"/>
              </w:rPr>
              <w:t>可观测性，降低故障定位与调优成本。</w:t>
            </w:r>
          </w:p>
          <w:p w14:paraId="4A40D587">
            <w:pPr>
              <w:pStyle w:val="6"/>
              <w:spacing w:line="227" w:lineRule="auto"/>
              <w:ind w:left="112"/>
            </w:pPr>
            <w:r>
              <w:rPr>
                <w:spacing w:val="7"/>
              </w:rPr>
              <w:t>技术说明</w:t>
            </w:r>
          </w:p>
          <w:p w14:paraId="0BF29052">
            <w:pPr>
              <w:pStyle w:val="6"/>
              <w:spacing w:before="221" w:line="222" w:lineRule="auto"/>
              <w:ind w:left="110"/>
            </w:pPr>
            <w:r>
              <w:rPr>
                <w:spacing w:val="23"/>
              </w:rPr>
              <w:t>框架与库：</w:t>
            </w:r>
            <w:r>
              <w:t>Gin</w:t>
            </w:r>
            <w:r>
              <w:rPr>
                <w:spacing w:val="23"/>
              </w:rPr>
              <w:t>、</w:t>
            </w:r>
            <w:r>
              <w:t>GVA</w:t>
            </w:r>
            <w:r>
              <w:rPr>
                <w:spacing w:val="23"/>
              </w:rPr>
              <w:t>、</w:t>
            </w:r>
            <w:r>
              <w:t>Gorm</w:t>
            </w:r>
            <w:r>
              <w:rPr>
                <w:spacing w:val="23"/>
              </w:rPr>
              <w:t xml:space="preserve"> </w:t>
            </w:r>
            <w:r>
              <w:t>v</w:t>
            </w:r>
            <w:r>
              <w:rPr>
                <w:spacing w:val="23"/>
              </w:rPr>
              <w:t>2、</w:t>
            </w:r>
            <w:r>
              <w:t>Casbin</w:t>
            </w:r>
            <w:r>
              <w:rPr>
                <w:spacing w:val="23"/>
              </w:rPr>
              <w:t>、</w:t>
            </w:r>
            <w:r>
              <w:t>Zap</w:t>
            </w:r>
            <w:r>
              <w:rPr>
                <w:spacing w:val="23"/>
              </w:rPr>
              <w:t>、</w:t>
            </w:r>
            <w:r>
              <w:t>Viper</w:t>
            </w:r>
            <w:r>
              <w:rPr>
                <w:spacing w:val="23"/>
              </w:rPr>
              <w:t>、</w:t>
            </w:r>
            <w:r>
              <w:t>go</w:t>
            </w:r>
            <w:r>
              <w:rPr>
                <w:spacing w:val="23"/>
              </w:rPr>
              <w:t>-</w:t>
            </w:r>
            <w:r>
              <w:t>redis</w:t>
            </w:r>
            <w:r>
              <w:rPr>
                <w:spacing w:val="23"/>
              </w:rPr>
              <w:t>、</w:t>
            </w:r>
            <w:r>
              <w:t>Prometheus</w:t>
            </w:r>
            <w:r>
              <w:rPr>
                <w:spacing w:val="23"/>
              </w:rPr>
              <w:t xml:space="preserve"> </w:t>
            </w:r>
            <w:r>
              <w:t>Client</w:t>
            </w:r>
          </w:p>
          <w:p w14:paraId="61B1F9B6">
            <w:pPr>
              <w:pStyle w:val="6"/>
              <w:spacing w:before="227" w:line="432" w:lineRule="auto"/>
              <w:ind w:left="110" w:right="106"/>
            </w:pPr>
            <w:r>
              <w:rPr>
                <w:spacing w:val="10"/>
              </w:rPr>
              <w:t xml:space="preserve">权限与路由：基于 </w:t>
            </w:r>
            <w:r>
              <w:t>Casbin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的策略校验与基于数据库的菜单与路由装配，辅以</w:t>
            </w:r>
            <w:r>
              <w:rPr>
                <w:spacing w:val="9"/>
              </w:rPr>
              <w:t>本地缓存与</w:t>
            </w:r>
            <w:r>
              <w:t xml:space="preserve"> </w:t>
            </w:r>
            <w:r>
              <w:rPr>
                <w:spacing w:val="7"/>
              </w:rPr>
              <w:t>变更通知</w:t>
            </w:r>
          </w:p>
          <w:p w14:paraId="482DDB21">
            <w:pPr>
              <w:pStyle w:val="6"/>
              <w:spacing w:line="226" w:lineRule="auto"/>
              <w:ind w:left="121"/>
            </w:pPr>
            <w:r>
              <w:rPr>
                <w:spacing w:val="10"/>
              </w:rPr>
              <w:t>多数据源：</w:t>
            </w:r>
            <w:r>
              <w:t>Gorm</w:t>
            </w:r>
            <w:r>
              <w:rPr>
                <w:spacing w:val="10"/>
              </w:rPr>
              <w:t xml:space="preserve"> 多连接工厂与请求级数据源上下文透传，中间件</w:t>
            </w:r>
            <w:r>
              <w:rPr>
                <w:spacing w:val="9"/>
              </w:rPr>
              <w:t>负责选择与回收</w:t>
            </w:r>
          </w:p>
          <w:p w14:paraId="1E2457F2">
            <w:pPr>
              <w:pStyle w:val="6"/>
              <w:spacing w:before="222" w:line="228" w:lineRule="auto"/>
              <w:ind w:left="122"/>
            </w:pPr>
            <w:r>
              <w:rPr>
                <w:spacing w:val="9"/>
              </w:rPr>
              <w:t>审计日志：在权限拦截点输出结构化日志并落库，关联请求链路标识</w:t>
            </w:r>
          </w:p>
          <w:p w14:paraId="54B27DC5">
            <w:pPr>
              <w:pStyle w:val="6"/>
              <w:spacing w:before="221" w:line="228" w:lineRule="auto"/>
              <w:ind w:left="114"/>
            </w:pPr>
            <w:r>
              <w:rPr>
                <w:spacing w:val="9"/>
              </w:rPr>
              <w:t>设计模式：单例、工厂、策略的提炼与类图沉淀</w:t>
            </w:r>
          </w:p>
          <w:p w14:paraId="263AF9F5">
            <w:pPr>
              <w:pStyle w:val="6"/>
              <w:spacing w:before="222" w:line="368" w:lineRule="auto"/>
              <w:ind w:left="110" w:right="1268" w:firstLine="2"/>
            </w:pPr>
            <w:r>
              <w:rPr>
                <w:spacing w:val="8"/>
              </w:rPr>
              <w:t xml:space="preserve">调度集成：接入 </w:t>
            </w:r>
            <w:r>
              <w:t>Xxl</w:t>
            </w:r>
            <w:r>
              <w:rPr>
                <w:spacing w:val="8"/>
              </w:rPr>
              <w:t xml:space="preserve"> </w:t>
            </w:r>
            <w:r>
              <w:t>Job</w:t>
            </w:r>
            <w:r>
              <w:rPr>
                <w:spacing w:val="8"/>
              </w:rPr>
              <w:t xml:space="preserve"> </w:t>
            </w:r>
            <w:r>
              <w:t>v</w:t>
            </w:r>
            <w:r>
              <w:rPr>
                <w:spacing w:val="8"/>
              </w:rPr>
              <w:t>1.6.1，</w:t>
            </w:r>
            <w:r>
              <w:rPr>
                <w:spacing w:val="-49"/>
              </w:rPr>
              <w:t xml:space="preserve"> </w:t>
            </w:r>
            <w:r>
              <w:rPr>
                <w:spacing w:val="8"/>
              </w:rPr>
              <w:t>自定义任务入参支持在线配置与即时生效</w:t>
            </w:r>
            <w:r>
              <w:t xml:space="preserve"> </w:t>
            </w:r>
            <w:r>
              <w:rPr>
                <w:spacing w:val="7"/>
              </w:rPr>
              <w:t>操作流程</w:t>
            </w:r>
          </w:p>
        </w:tc>
      </w:tr>
    </w:tbl>
    <w:p w14:paraId="4A183272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headerReference r:id="rId5" w:type="default"/>
          <w:footerReference r:id="rId6" w:type="default"/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5467"/>
        <w:gridCol w:w="2944"/>
      </w:tblGrid>
      <w:tr w14:paraId="6201D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180EFAF2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bottom w:val="nil"/>
            </w:tcBorders>
            <w:vAlign w:val="top"/>
          </w:tcPr>
          <w:p w14:paraId="7E7B4323">
            <w:pPr>
              <w:pStyle w:val="6"/>
              <w:spacing w:before="133" w:line="432" w:lineRule="auto"/>
              <w:ind w:left="111" w:right="109"/>
            </w:pPr>
            <w:r>
              <w:rPr>
                <w:spacing w:val="7"/>
              </w:rPr>
              <w:t xml:space="preserve">通读 </w:t>
            </w:r>
            <w:r>
              <w:t>GVA</w:t>
            </w:r>
            <w:r>
              <w:rPr>
                <w:spacing w:val="7"/>
              </w:rPr>
              <w:t xml:space="preserve"> 权限与菜单模块源码，梳理菜单 查询 角色 绑定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路由装配的调用链，绘制数据</w:t>
            </w:r>
            <w:r>
              <w:t xml:space="preserve"> </w:t>
            </w:r>
            <w:r>
              <w:rPr>
                <w:spacing w:val="4"/>
              </w:rPr>
              <w:t>流图</w:t>
            </w:r>
          </w:p>
          <w:p w14:paraId="56C60BD8">
            <w:pPr>
              <w:pStyle w:val="6"/>
              <w:spacing w:line="226" w:lineRule="auto"/>
              <w:ind w:left="110"/>
            </w:pPr>
            <w:r>
              <w:rPr>
                <w:spacing w:val="10"/>
              </w:rPr>
              <w:t>在路由初始化阶段增加动态路由装配能力，并提供后台刷</w:t>
            </w:r>
            <w:r>
              <w:rPr>
                <w:spacing w:val="9"/>
              </w:rPr>
              <w:t>新接口与缓存失效策略</w:t>
            </w:r>
          </w:p>
          <w:p w14:paraId="0E844A3E">
            <w:pPr>
              <w:pStyle w:val="6"/>
              <w:spacing w:before="221" w:line="228" w:lineRule="auto"/>
              <w:ind w:left="114"/>
            </w:pPr>
            <w:r>
              <w:rPr>
                <w:spacing w:val="10"/>
              </w:rPr>
              <w:t>设计多数据源连接工厂与上下文中间件，完成线程上</w:t>
            </w:r>
            <w:r>
              <w:rPr>
                <w:spacing w:val="9"/>
              </w:rPr>
              <w:t>下文到数据库连接的映射与回收</w:t>
            </w:r>
          </w:p>
        </w:tc>
      </w:tr>
      <w:tr w14:paraId="07A144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7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220DCD30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  <w:bottom w:val="nil"/>
            </w:tcBorders>
            <w:vAlign w:val="top"/>
          </w:tcPr>
          <w:p w14:paraId="30E5F2D2">
            <w:pPr>
              <w:pStyle w:val="6"/>
              <w:spacing w:before="195" w:line="432" w:lineRule="auto"/>
              <w:ind w:left="119" w:right="109" w:hanging="9"/>
            </w:pPr>
            <w:r>
              <w:rPr>
                <w:spacing w:val="10"/>
              </w:rPr>
              <w:t xml:space="preserve">在权限中间件切入审计日志，输出用户标识 请求路径 </w:t>
            </w:r>
            <w:r>
              <w:rPr>
                <w:spacing w:val="9"/>
              </w:rPr>
              <w:t xml:space="preserve">角色 权限结果 </w:t>
            </w:r>
            <w:r>
              <w:t>SQL</w:t>
            </w:r>
            <w:r>
              <w:rPr>
                <w:spacing w:val="9"/>
              </w:rPr>
              <w:t xml:space="preserve"> 慢查询关联信</w:t>
            </w:r>
            <w:r>
              <w:t xml:space="preserve"> </w:t>
            </w:r>
            <w:r>
              <w:rPr>
                <w:spacing w:val="8"/>
              </w:rPr>
              <w:t>息 并提供落库表结构与查询报表</w:t>
            </w:r>
          </w:p>
          <w:p w14:paraId="5D050B92">
            <w:pPr>
              <w:pStyle w:val="6"/>
              <w:spacing w:before="1" w:line="371" w:lineRule="auto"/>
              <w:ind w:left="113" w:right="109"/>
            </w:pPr>
            <w:r>
              <w:rPr>
                <w:spacing w:val="7"/>
              </w:rPr>
              <w:t>识别并提炼三种设计模式，输出类图与说明文档，定位其在权限 菜单 路由 数</w:t>
            </w:r>
            <w:r>
              <w:rPr>
                <w:spacing w:val="6"/>
              </w:rPr>
              <w:t>据源中的应</w:t>
            </w:r>
            <w:r>
              <w:t xml:space="preserve"> </w:t>
            </w:r>
            <w:r>
              <w:rPr>
                <w:spacing w:val="6"/>
              </w:rPr>
              <w:t>用边界</w:t>
            </w:r>
          </w:p>
        </w:tc>
      </w:tr>
      <w:tr w14:paraId="3D5C5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6EDC1B92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  <w:bottom w:val="nil"/>
            </w:tcBorders>
            <w:vAlign w:val="top"/>
          </w:tcPr>
          <w:p w14:paraId="774260EE">
            <w:pPr>
              <w:pStyle w:val="6"/>
              <w:spacing w:before="120" w:line="226" w:lineRule="auto"/>
              <w:ind w:left="111"/>
            </w:pPr>
            <w:r>
              <w:rPr>
                <w:spacing w:val="9"/>
              </w:rPr>
              <w:t xml:space="preserve">集成 </w:t>
            </w:r>
            <w:r>
              <w:t>Xxl</w:t>
            </w:r>
            <w:r>
              <w:rPr>
                <w:spacing w:val="-41"/>
              </w:rPr>
              <w:t xml:space="preserve"> </w:t>
            </w:r>
            <w:r>
              <w:t>Job</w:t>
            </w:r>
            <w:r>
              <w:rPr>
                <w:spacing w:val="9"/>
              </w:rPr>
              <w:t xml:space="preserve"> 执行器与注册逻辑，提供任务参数的在线配置与下发链路</w:t>
            </w:r>
            <w:r>
              <w:rPr>
                <w:spacing w:val="8"/>
              </w:rPr>
              <w:t>，实现参数修改即</w:t>
            </w:r>
          </w:p>
        </w:tc>
      </w:tr>
      <w:tr w14:paraId="0D08B4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5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44DC42B7">
            <w:pPr>
              <w:rPr>
                <w:rFonts w:ascii="Arial"/>
                <w:sz w:val="21"/>
              </w:rPr>
            </w:pPr>
          </w:p>
        </w:tc>
        <w:tc>
          <w:tcPr>
            <w:tcW w:w="5467" w:type="dxa"/>
            <w:tcBorders>
              <w:top w:val="nil"/>
              <w:bottom w:val="nil"/>
              <w:right w:val="nil"/>
            </w:tcBorders>
            <w:vAlign w:val="top"/>
          </w:tcPr>
          <w:p w14:paraId="46F0D585">
            <w:pPr>
              <w:pStyle w:val="6"/>
              <w:spacing w:before="131" w:line="228" w:lineRule="auto"/>
              <w:ind w:left="121"/>
            </w:pPr>
            <w:r>
              <w:rPr>
                <w:spacing w:val="6"/>
              </w:rPr>
              <w:t>时生效与回滚</w:t>
            </w:r>
          </w:p>
          <w:p w14:paraId="47F795BC">
            <w:pPr>
              <w:pStyle w:val="6"/>
              <w:spacing w:before="220" w:line="226" w:lineRule="auto"/>
              <w:ind w:left="113"/>
            </w:pPr>
            <w:r>
              <w:rPr>
                <w:spacing w:val="9"/>
              </w:rPr>
              <w:t>编写端到端用例与性能对比报告，完成验收</w:t>
            </w:r>
          </w:p>
          <w:p w14:paraId="26045050">
            <w:pPr>
              <w:pStyle w:val="6"/>
              <w:spacing w:before="222" w:line="228" w:lineRule="auto"/>
              <w:ind w:left="114"/>
            </w:pPr>
            <w:r>
              <w:rPr>
                <w:spacing w:val="6"/>
              </w:rPr>
              <w:t>功能概述</w:t>
            </w:r>
          </w:p>
          <w:p w14:paraId="3480B700">
            <w:pPr>
              <w:pStyle w:val="6"/>
              <w:spacing w:before="221" w:line="228" w:lineRule="auto"/>
              <w:ind w:left="110"/>
            </w:pPr>
            <w:r>
              <w:rPr>
                <w:spacing w:val="9"/>
              </w:rPr>
              <w:t>权限菜单动态加载源码分析与实现</w:t>
            </w:r>
          </w:p>
          <w:p w14:paraId="428595EE">
            <w:pPr>
              <w:pStyle w:val="6"/>
              <w:spacing w:before="221" w:line="228" w:lineRule="auto"/>
              <w:ind w:left="110"/>
            </w:pPr>
            <w:r>
              <w:rPr>
                <w:spacing w:val="8"/>
              </w:rPr>
              <w:t xml:space="preserve">在保留 </w:t>
            </w:r>
            <w:r>
              <w:t>GVA</w:t>
            </w:r>
            <w:r>
              <w:rPr>
                <w:spacing w:val="8"/>
              </w:rPr>
              <w:t xml:space="preserve"> 现有权限校验能力的基础上，系统</w:t>
            </w:r>
            <w:r>
              <w:rPr>
                <w:spacing w:val="7"/>
              </w:rPr>
              <w:t>化梳理菜单</w:t>
            </w:r>
          </w:p>
        </w:tc>
        <w:tc>
          <w:tcPr>
            <w:tcW w:w="2944" w:type="dxa"/>
            <w:tcBorders>
              <w:top w:val="nil"/>
              <w:left w:val="nil"/>
              <w:bottom w:val="nil"/>
            </w:tcBorders>
            <w:vAlign w:val="top"/>
          </w:tcPr>
          <w:p w14:paraId="1333ED53">
            <w:pPr>
              <w:spacing w:line="288" w:lineRule="auto"/>
              <w:rPr>
                <w:rFonts w:ascii="Arial"/>
                <w:sz w:val="21"/>
              </w:rPr>
            </w:pPr>
          </w:p>
          <w:p w14:paraId="29D882E9">
            <w:pPr>
              <w:spacing w:line="289" w:lineRule="auto"/>
              <w:rPr>
                <w:rFonts w:ascii="Arial"/>
                <w:sz w:val="21"/>
              </w:rPr>
            </w:pPr>
          </w:p>
          <w:p w14:paraId="394D8AF4">
            <w:pPr>
              <w:pStyle w:val="6"/>
              <w:spacing w:line="1763" w:lineRule="exact"/>
              <w:ind w:firstLine="59"/>
            </w:pPr>
          </w:p>
        </w:tc>
      </w:tr>
      <w:tr w14:paraId="696065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0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35FF0352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tcBorders>
              <w:top w:val="nil"/>
            </w:tcBorders>
            <w:vAlign w:val="top"/>
          </w:tcPr>
          <w:p w14:paraId="12F16B1C">
            <w:pPr>
              <w:pStyle w:val="6"/>
              <w:spacing w:before="66" w:line="432" w:lineRule="auto"/>
              <w:ind w:left="111" w:right="109" w:firstLine="1"/>
              <w:jc w:val="both"/>
            </w:pPr>
            <w:r>
              <w:rPr>
                <w:spacing w:val="10"/>
              </w:rPr>
              <w:t>数据库加载到内存再到路由绑定的全链路细节，输出接口与数据结构示</w:t>
            </w:r>
            <w:r>
              <w:rPr>
                <w:spacing w:val="9"/>
              </w:rPr>
              <w:t>意。实现后台触发</w:t>
            </w:r>
            <w:r>
              <w:t xml:space="preserve"> </w:t>
            </w:r>
            <w:r>
              <w:rPr>
                <w:spacing w:val="10"/>
              </w:rPr>
              <w:t>的菜单增删改查后端刷新与路由重载，提供缓存层以减少数据库压力，并通</w:t>
            </w:r>
            <w:r>
              <w:rPr>
                <w:spacing w:val="9"/>
              </w:rPr>
              <w:t>过版本号与通</w:t>
            </w:r>
            <w:r>
              <w:t xml:space="preserve"> </w:t>
            </w:r>
            <w:r>
              <w:rPr>
                <w:spacing w:val="10"/>
              </w:rPr>
              <w:t>知机制保证多实例一致性。同时为运维提供可观测指标，如菜单装配耗时、</w:t>
            </w:r>
            <w:r>
              <w:rPr>
                <w:spacing w:val="9"/>
              </w:rPr>
              <w:t>路由数量与失</w:t>
            </w:r>
            <w:r>
              <w:t xml:space="preserve"> </w:t>
            </w:r>
            <w:r>
              <w:rPr>
                <w:spacing w:val="8"/>
              </w:rPr>
              <w:t>败重试次数，便于问题回溯与容量评估。</w:t>
            </w:r>
          </w:p>
          <w:p w14:paraId="71A3D6DA">
            <w:pPr>
              <w:pStyle w:val="6"/>
              <w:spacing w:line="226" w:lineRule="auto"/>
              <w:ind w:left="121"/>
            </w:pPr>
            <w:r>
              <w:rPr>
                <w:spacing w:val="8"/>
              </w:rPr>
              <w:t>多数据源实现原理与线程变量传递分析与落地</w:t>
            </w:r>
          </w:p>
          <w:p w14:paraId="56891A67">
            <w:pPr>
              <w:pStyle w:val="6"/>
              <w:spacing w:before="222" w:line="432" w:lineRule="auto"/>
              <w:ind w:left="110" w:right="106" w:firstLine="4"/>
            </w:pPr>
            <w:r>
              <w:rPr>
                <w:spacing w:val="10"/>
              </w:rPr>
              <w:t xml:space="preserve">设计数据源管理器负责管理多个 </w:t>
            </w:r>
            <w:r>
              <w:t>Gorm</w:t>
            </w:r>
            <w:r>
              <w:rPr>
                <w:spacing w:val="10"/>
              </w:rPr>
              <w:t xml:space="preserve"> 连接，使用请求上下文存放数据源键，通过中间件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解析租户 业务线或请求头决定路由到何种数据源。以工厂创建连接并结合连接池参数与健</w:t>
            </w:r>
            <w:r>
              <w:rPr>
                <w:spacing w:val="5"/>
              </w:rPr>
              <w:t xml:space="preserve"> </w:t>
            </w:r>
            <w:r>
              <w:rPr>
                <w:spacing w:val="10"/>
              </w:rPr>
              <w:t>康检查保证稳定性，提供灰度与读写分离扩展点。通过断点调试与日志链路展</w:t>
            </w:r>
            <w:r>
              <w:rPr>
                <w:spacing w:val="9"/>
              </w:rPr>
              <w:t>示数据源键</w:t>
            </w:r>
            <w:r>
              <w:t xml:space="preserve"> </w:t>
            </w:r>
            <w:r>
              <w:rPr>
                <w:spacing w:val="10"/>
              </w:rPr>
              <w:t>在控制器 服务层 仓储层的透传过程，输出调用链路图与关</w:t>
            </w:r>
            <w:r>
              <w:rPr>
                <w:spacing w:val="9"/>
              </w:rPr>
              <w:t>键方法说明，确保并发安全与</w:t>
            </w:r>
            <w:r>
              <w:t xml:space="preserve"> </w:t>
            </w:r>
            <w:r>
              <w:rPr>
                <w:spacing w:val="6"/>
              </w:rPr>
              <w:t>资源回收。</w:t>
            </w:r>
          </w:p>
          <w:p w14:paraId="13512372">
            <w:pPr>
              <w:pStyle w:val="6"/>
              <w:spacing w:line="227" w:lineRule="auto"/>
              <w:ind w:left="111"/>
            </w:pPr>
            <w:r>
              <w:rPr>
                <w:spacing w:val="9"/>
              </w:rPr>
              <w:t>三种设计模式提取与类图输出</w:t>
            </w:r>
          </w:p>
          <w:p w14:paraId="3F80772C">
            <w:pPr>
              <w:pStyle w:val="6"/>
              <w:spacing w:before="219" w:line="401" w:lineRule="auto"/>
              <w:ind w:left="110" w:right="106" w:firstLine="2"/>
            </w:pPr>
            <w:r>
              <w:rPr>
                <w:spacing w:val="9"/>
              </w:rPr>
              <w:t>识别并沉淀单例模式在全局配置</w:t>
            </w:r>
            <w:r>
              <w:rPr>
                <w:spacing w:val="49"/>
              </w:rPr>
              <w:t xml:space="preserve"> </w:t>
            </w:r>
            <w:r>
              <w:rPr>
                <w:spacing w:val="9"/>
              </w:rPr>
              <w:t>日志器 数据源</w:t>
            </w:r>
            <w:r>
              <w:rPr>
                <w:spacing w:val="8"/>
              </w:rPr>
              <w:t>管理器的使用，工厂模式在数据库连接与</w:t>
            </w:r>
            <w:r>
              <w:t xml:space="preserve"> </w:t>
            </w:r>
            <w:r>
              <w:rPr>
                <w:spacing w:val="10"/>
              </w:rPr>
              <w:t>仓储实例化的使用，策略模式在权限校验与路由装配策略切换中的使用。以类</w:t>
            </w:r>
            <w:r>
              <w:rPr>
                <w:spacing w:val="9"/>
              </w:rPr>
              <w:t>图呈现参与</w:t>
            </w:r>
            <w:r>
              <w:t xml:space="preserve"> </w:t>
            </w:r>
            <w:r>
              <w:rPr>
                <w:spacing w:val="10"/>
              </w:rPr>
              <w:t>对象 关系与协作方式，补充适用场景 优缺点与替代方案，</w:t>
            </w:r>
            <w:r>
              <w:rPr>
                <w:spacing w:val="9"/>
              </w:rPr>
              <w:t>指导后续扩展时的统一风格与</w:t>
            </w:r>
            <w:r>
              <w:t xml:space="preserve"> </w:t>
            </w:r>
            <w:r>
              <w:rPr>
                <w:spacing w:val="7"/>
              </w:rPr>
              <w:t>可测试性设计。</w:t>
            </w:r>
          </w:p>
        </w:tc>
      </w:tr>
    </w:tbl>
    <w:p w14:paraId="2A6D1F55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8411"/>
      </w:tblGrid>
      <w:tr w14:paraId="5C996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0" w:hRule="atLeast"/>
        </w:trPr>
        <w:tc>
          <w:tcPr>
            <w:tcW w:w="1555" w:type="dxa"/>
            <w:vMerge w:val="restart"/>
            <w:tcBorders>
              <w:bottom w:val="nil"/>
            </w:tcBorders>
            <w:vAlign w:val="top"/>
          </w:tcPr>
          <w:p w14:paraId="6B0F296A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bottom w:val="nil"/>
            </w:tcBorders>
            <w:vAlign w:val="top"/>
          </w:tcPr>
          <w:p w14:paraId="5B3EA4FA">
            <w:pPr>
              <w:pStyle w:val="6"/>
              <w:spacing w:before="133" w:line="227" w:lineRule="auto"/>
              <w:ind w:left="116"/>
            </w:pPr>
            <w:r>
              <w:rPr>
                <w:spacing w:val="9"/>
              </w:rPr>
              <w:t>结合网约车司机端的权限日志增强</w:t>
            </w:r>
          </w:p>
          <w:p w14:paraId="6A720CF8">
            <w:pPr>
              <w:pStyle w:val="6"/>
              <w:spacing w:before="221" w:line="369" w:lineRule="auto"/>
              <w:ind w:left="110" w:right="106"/>
            </w:pPr>
            <w:r>
              <w:rPr>
                <w:spacing w:val="7"/>
              </w:rPr>
              <w:t>在权限拦截点植入结构化审计日志，记录用户标识 角</w:t>
            </w:r>
            <w:r>
              <w:rPr>
                <w:spacing w:val="6"/>
              </w:rPr>
              <w:t>色列表 请求方法 路径 资源编码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策</w:t>
            </w:r>
            <w:r>
              <w:t xml:space="preserve"> </w:t>
            </w:r>
            <w:r>
              <w:rPr>
                <w:spacing w:val="8"/>
              </w:rPr>
              <w:t>略命中 结果状态 与请求耗时。</w:t>
            </w:r>
            <w:r>
              <w:rPr>
                <w:spacing w:val="-33"/>
              </w:rPr>
              <w:t xml:space="preserve"> </w:t>
            </w:r>
            <w:r>
              <w:rPr>
                <w:spacing w:val="8"/>
              </w:rPr>
              <w:t>日志落地包含本地与数据库双写策略，数据库侧新增审计</w:t>
            </w:r>
            <w:r>
              <w:t xml:space="preserve"> </w:t>
            </w:r>
            <w:r>
              <w:rPr>
                <w:spacing w:val="10"/>
              </w:rPr>
              <w:t>表并建立必要索引支持报表查询，联动慢查询日志实现跨域排障。为批量请求</w:t>
            </w:r>
            <w:r>
              <w:rPr>
                <w:spacing w:val="9"/>
              </w:rPr>
              <w:t>提供采样与</w:t>
            </w:r>
          </w:p>
        </w:tc>
      </w:tr>
      <w:tr w14:paraId="4943A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6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3FD6BF61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  <w:bottom w:val="nil"/>
            </w:tcBorders>
            <w:vAlign w:val="top"/>
          </w:tcPr>
          <w:p w14:paraId="289E6C11">
            <w:pPr>
              <w:pStyle w:val="6"/>
              <w:spacing w:before="194" w:line="228" w:lineRule="auto"/>
              <w:ind w:left="112"/>
            </w:pPr>
            <w:r>
              <w:rPr>
                <w:spacing w:val="9"/>
              </w:rPr>
              <w:t>动态开关，支持以链路标识贯穿全链路以便回溯。</w:t>
            </w:r>
          </w:p>
          <w:p w14:paraId="335A6A47">
            <w:pPr>
              <w:pStyle w:val="6"/>
              <w:spacing w:before="221" w:line="226" w:lineRule="auto"/>
              <w:ind w:left="108"/>
            </w:pPr>
            <w:r>
              <w:t>Xxl</w:t>
            </w:r>
            <w:r>
              <w:rPr>
                <w:spacing w:val="10"/>
              </w:rPr>
              <w:t xml:space="preserve"> </w:t>
            </w:r>
            <w:r>
              <w:t>Job</w:t>
            </w:r>
            <w:r>
              <w:rPr>
                <w:spacing w:val="10"/>
              </w:rPr>
              <w:t xml:space="preserve"> 新版本特性接入与参数在线配置</w:t>
            </w:r>
          </w:p>
          <w:p w14:paraId="7A30D101">
            <w:pPr>
              <w:pStyle w:val="6"/>
              <w:spacing w:before="223" w:line="371" w:lineRule="auto"/>
              <w:ind w:left="111" w:right="54"/>
            </w:pPr>
            <w:r>
              <w:rPr>
                <w:spacing w:val="7"/>
              </w:rPr>
              <w:t xml:space="preserve">集成 </w:t>
            </w:r>
            <w:r>
              <w:t>Xxl</w:t>
            </w:r>
            <w:r>
              <w:rPr>
                <w:spacing w:val="-32"/>
              </w:rPr>
              <w:t xml:space="preserve"> </w:t>
            </w:r>
            <w:r>
              <w:t>Job</w:t>
            </w:r>
            <w:r>
              <w:rPr>
                <w:spacing w:val="-39"/>
              </w:rPr>
              <w:t xml:space="preserve"> </w:t>
            </w:r>
            <w:r>
              <w:t>v</w:t>
            </w:r>
            <w:r>
              <w:rPr>
                <w:spacing w:val="7"/>
              </w:rPr>
              <w:t>1.6.1 执行器，完成注册 调度</w:t>
            </w:r>
            <w:r>
              <w:rPr>
                <w:spacing w:val="37"/>
              </w:rPr>
              <w:t xml:space="preserve"> </w:t>
            </w:r>
            <w:r>
              <w:rPr>
                <w:spacing w:val="7"/>
              </w:rPr>
              <w:t>回调全链路。后端提供任务参数配置接口，</w:t>
            </w:r>
            <w:r>
              <w:t xml:space="preserve"> </w:t>
            </w:r>
            <w:r>
              <w:rPr>
                <w:spacing w:val="10"/>
              </w:rPr>
              <w:t>支持在线编辑任务入参并下发到执行器队列，参数变更即时生效并记录审</w:t>
            </w:r>
            <w:r>
              <w:rPr>
                <w:spacing w:val="9"/>
              </w:rPr>
              <w:t>计历史。提供幂</w:t>
            </w:r>
          </w:p>
        </w:tc>
      </w:tr>
      <w:tr w14:paraId="3A3FF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77BE6981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  <w:bottom w:val="nil"/>
            </w:tcBorders>
            <w:vAlign w:val="top"/>
          </w:tcPr>
          <w:p w14:paraId="5EF50CC5">
            <w:pPr>
              <w:pStyle w:val="6"/>
              <w:spacing w:before="121" w:line="362" w:lineRule="auto"/>
              <w:ind w:left="113" w:right="109"/>
            </w:pPr>
            <w:r>
              <w:rPr>
                <w:spacing w:val="10"/>
              </w:rPr>
              <w:t>等校验与参数校验规则，支持灰度参数与回滚一键恢复，输出任务样例</w:t>
            </w:r>
            <w:r>
              <w:rPr>
                <w:spacing w:val="9"/>
              </w:rPr>
              <w:t>与联调用例，确保</w:t>
            </w:r>
            <w:r>
              <w:t xml:space="preserve"> </w:t>
            </w:r>
            <w:r>
              <w:rPr>
                <w:spacing w:val="8"/>
              </w:rPr>
              <w:t>调度链路在高并发场景可控与可观测。</w:t>
            </w:r>
          </w:p>
        </w:tc>
      </w:tr>
      <w:tr w14:paraId="49096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7" w:hRule="atLeast"/>
        </w:trPr>
        <w:tc>
          <w:tcPr>
            <w:tcW w:w="1555" w:type="dxa"/>
            <w:vMerge w:val="continue"/>
            <w:tcBorders>
              <w:top w:val="nil"/>
              <w:bottom w:val="nil"/>
            </w:tcBorders>
            <w:vAlign w:val="top"/>
          </w:tcPr>
          <w:p w14:paraId="29F64749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  <w:bottom w:val="nil"/>
            </w:tcBorders>
            <w:vAlign w:val="top"/>
          </w:tcPr>
          <w:p w14:paraId="02523901">
            <w:pPr>
              <w:pStyle w:val="6"/>
              <w:spacing w:before="140" w:line="228" w:lineRule="auto"/>
              <w:ind w:left="113"/>
            </w:pPr>
            <w:r>
              <w:rPr>
                <w:spacing w:val="6"/>
              </w:rPr>
              <w:t>2. 技术栈说明</w:t>
            </w:r>
          </w:p>
          <w:p w14:paraId="2649815C">
            <w:pPr>
              <w:pStyle w:val="6"/>
              <w:spacing w:before="221" w:line="227" w:lineRule="auto"/>
              <w:ind w:left="111"/>
            </w:pPr>
            <w:r>
              <w:rPr>
                <w:spacing w:val="6"/>
              </w:rPr>
              <w:t>语言与版本：</w:t>
            </w:r>
            <w:r>
              <w:t>Go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1.20 及以上</w:t>
            </w:r>
          </w:p>
          <w:p w14:paraId="3250DC2A">
            <w:pPr>
              <w:pStyle w:val="6"/>
              <w:spacing w:before="222" w:line="222" w:lineRule="auto"/>
              <w:ind w:left="110"/>
            </w:pPr>
            <w:r>
              <w:rPr>
                <w:spacing w:val="22"/>
              </w:rPr>
              <w:t>框架与组件：</w:t>
            </w:r>
            <w:r>
              <w:t>GVA</w:t>
            </w:r>
            <w:r>
              <w:rPr>
                <w:spacing w:val="22"/>
              </w:rPr>
              <w:t>、</w:t>
            </w:r>
            <w:r>
              <w:t>Gin</w:t>
            </w:r>
            <w:r>
              <w:rPr>
                <w:spacing w:val="22"/>
              </w:rPr>
              <w:t>、</w:t>
            </w:r>
            <w:r>
              <w:t>Gorm</w:t>
            </w:r>
            <w:r>
              <w:rPr>
                <w:spacing w:val="22"/>
              </w:rPr>
              <w:t xml:space="preserve"> </w:t>
            </w:r>
            <w:r>
              <w:t>v</w:t>
            </w:r>
            <w:r>
              <w:rPr>
                <w:spacing w:val="22"/>
              </w:rPr>
              <w:t>2、</w:t>
            </w:r>
            <w:r>
              <w:t>Casbin</w:t>
            </w:r>
            <w:r>
              <w:rPr>
                <w:spacing w:val="22"/>
              </w:rPr>
              <w:t>、</w:t>
            </w:r>
            <w:r>
              <w:t>Zap</w:t>
            </w:r>
            <w:r>
              <w:rPr>
                <w:spacing w:val="22"/>
              </w:rPr>
              <w:t>、</w:t>
            </w:r>
            <w:r>
              <w:t>Viper</w:t>
            </w:r>
            <w:r>
              <w:rPr>
                <w:spacing w:val="22"/>
              </w:rPr>
              <w:t>、</w:t>
            </w:r>
            <w:r>
              <w:t>go</w:t>
            </w:r>
            <w:r>
              <w:rPr>
                <w:spacing w:val="22"/>
              </w:rPr>
              <w:t>-</w:t>
            </w:r>
            <w:r>
              <w:t>redis</w:t>
            </w:r>
            <w:r>
              <w:rPr>
                <w:spacing w:val="22"/>
              </w:rPr>
              <w:t>、</w:t>
            </w:r>
            <w:r>
              <w:t>Prometheus</w:t>
            </w:r>
            <w:r>
              <w:rPr>
                <w:spacing w:val="22"/>
              </w:rPr>
              <w:t xml:space="preserve"> </w:t>
            </w:r>
            <w:r>
              <w:t>Client</w:t>
            </w:r>
          </w:p>
          <w:p w14:paraId="73ED505A">
            <w:pPr>
              <w:pStyle w:val="6"/>
              <w:spacing w:before="227" w:line="222" w:lineRule="auto"/>
              <w:ind w:left="113"/>
            </w:pPr>
            <w:r>
              <w:rPr>
                <w:spacing w:val="13"/>
              </w:rPr>
              <w:t>数据库与驱动：</w:t>
            </w:r>
            <w:r>
              <w:t>MySQL</w:t>
            </w:r>
            <w:r>
              <w:rPr>
                <w:spacing w:val="13"/>
              </w:rPr>
              <w:t xml:space="preserve"> 或 </w:t>
            </w:r>
            <w:r>
              <w:t>PostgreSQL</w:t>
            </w:r>
            <w:r>
              <w:rPr>
                <w:spacing w:val="13"/>
              </w:rPr>
              <w:t>，对应官方驱动</w:t>
            </w:r>
          </w:p>
        </w:tc>
      </w:tr>
      <w:tr w14:paraId="0453AE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0" w:hRule="atLeast"/>
        </w:trPr>
        <w:tc>
          <w:tcPr>
            <w:tcW w:w="1555" w:type="dxa"/>
            <w:vMerge w:val="continue"/>
            <w:tcBorders>
              <w:top w:val="nil"/>
            </w:tcBorders>
            <w:vAlign w:val="top"/>
          </w:tcPr>
          <w:p w14:paraId="0B071D9A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tcBorders>
              <w:top w:val="nil"/>
            </w:tcBorders>
            <w:vAlign w:val="top"/>
          </w:tcPr>
          <w:p w14:paraId="72AF0E70">
            <w:pPr>
              <w:pStyle w:val="6"/>
              <w:spacing w:before="66" w:line="226" w:lineRule="auto"/>
              <w:ind w:left="113"/>
            </w:pPr>
            <w:r>
              <w:rPr>
                <w:spacing w:val="9"/>
              </w:rPr>
              <w:t>调度与集成：</w:t>
            </w:r>
            <w:r>
              <w:t>Xxl</w:t>
            </w:r>
            <w:r>
              <w:rPr>
                <w:spacing w:val="9"/>
              </w:rPr>
              <w:t xml:space="preserve"> </w:t>
            </w:r>
            <w:r>
              <w:t>Job</w:t>
            </w:r>
            <w:r>
              <w:rPr>
                <w:spacing w:val="9"/>
              </w:rPr>
              <w:t xml:space="preserve"> </w:t>
            </w:r>
            <w:r>
              <w:t>v</w:t>
            </w:r>
            <w:r>
              <w:rPr>
                <w:spacing w:val="9"/>
              </w:rPr>
              <w:t>1.6.1 执行器与调度中心接口</w:t>
            </w:r>
          </w:p>
          <w:p w14:paraId="74700E41">
            <w:pPr>
              <w:pStyle w:val="6"/>
              <w:spacing w:before="222" w:line="431" w:lineRule="auto"/>
              <w:ind w:left="109" w:right="106" w:firstLine="2"/>
            </w:pPr>
            <w:r>
              <w:rPr>
                <w:spacing w:val="21"/>
              </w:rPr>
              <w:t>测试与工具：</w:t>
            </w:r>
            <w:r>
              <w:t>Go</w:t>
            </w:r>
            <w:r>
              <w:rPr>
                <w:spacing w:val="21"/>
              </w:rPr>
              <w:t xml:space="preserve"> </w:t>
            </w:r>
            <w:r>
              <w:t>test</w:t>
            </w:r>
            <w:r>
              <w:rPr>
                <w:spacing w:val="21"/>
              </w:rPr>
              <w:t xml:space="preserve"> 基准与竞态检测、</w:t>
            </w:r>
            <w:r>
              <w:t>Delve</w:t>
            </w:r>
            <w:r>
              <w:rPr>
                <w:spacing w:val="21"/>
              </w:rPr>
              <w:t xml:space="preserve"> 调试、</w:t>
            </w:r>
            <w:r>
              <w:t>Makefile</w:t>
            </w:r>
            <w:r>
              <w:rPr>
                <w:spacing w:val="21"/>
              </w:rPr>
              <w:t xml:space="preserve"> 构建</w:t>
            </w:r>
            <w:r>
              <w:rPr>
                <w:spacing w:val="20"/>
              </w:rPr>
              <w:t>、</w:t>
            </w:r>
            <w:r>
              <w:t>Docker</w:t>
            </w:r>
            <w:r>
              <w:rPr>
                <w:spacing w:val="23"/>
              </w:rPr>
              <w:t xml:space="preserve"> </w:t>
            </w:r>
            <w:r>
              <w:rPr>
                <w:spacing w:val="20"/>
              </w:rPr>
              <w:t>镜像与</w:t>
            </w:r>
            <w:r>
              <w:t xml:space="preserve"> </w:t>
            </w:r>
            <w:r>
              <w:rPr>
                <w:spacing w:val="4"/>
              </w:rPr>
              <w:t>Compose</w:t>
            </w:r>
          </w:p>
          <w:p w14:paraId="23C29AB4">
            <w:pPr>
              <w:pStyle w:val="6"/>
              <w:spacing w:before="2" w:line="230" w:lineRule="auto"/>
              <w:ind w:left="111"/>
            </w:pPr>
            <w:r>
              <w:rPr>
                <w:spacing w:val="8"/>
              </w:rPr>
              <w:t>配置与规范要点</w:t>
            </w:r>
          </w:p>
          <w:p w14:paraId="62016703">
            <w:pPr>
              <w:pStyle w:val="6"/>
              <w:spacing w:before="218" w:line="228" w:lineRule="auto"/>
              <w:ind w:left="111"/>
            </w:pPr>
            <w:r>
              <w:rPr>
                <w:spacing w:val="9"/>
              </w:rPr>
              <w:t>配置分层：全局配置 数据源配置 调度配置 分离，支持热加载与校验</w:t>
            </w:r>
          </w:p>
          <w:p w14:paraId="02A01E02">
            <w:pPr>
              <w:pStyle w:val="6"/>
              <w:spacing w:before="221" w:line="228" w:lineRule="auto"/>
              <w:ind w:left="147"/>
            </w:pPr>
            <w:r>
              <w:rPr>
                <w:spacing w:val="8"/>
              </w:rPr>
              <w:t>日志规范：结构化输出，字段键统一，链路标识贯穿全链路</w:t>
            </w:r>
          </w:p>
          <w:p w14:paraId="317E76EC">
            <w:pPr>
              <w:pStyle w:val="6"/>
              <w:spacing w:before="221" w:line="228" w:lineRule="auto"/>
              <w:ind w:left="113"/>
            </w:pPr>
            <w:r>
              <w:rPr>
                <w:spacing w:val="9"/>
              </w:rPr>
              <w:t>数据源策略：超时与最大连接策略显式配置，区分读写与租户</w:t>
            </w:r>
          </w:p>
          <w:p w14:paraId="5D6B5D01">
            <w:pPr>
              <w:pStyle w:val="6"/>
              <w:spacing w:before="221" w:line="228" w:lineRule="auto"/>
              <w:ind w:left="113"/>
            </w:pPr>
            <w:r>
              <w:rPr>
                <w:spacing w:val="9"/>
              </w:rPr>
              <w:t>路由安全：动态装配仅允许白名单处理器与受控前缀</w:t>
            </w:r>
          </w:p>
          <w:p w14:paraId="6D2AD111">
            <w:pPr>
              <w:pStyle w:val="6"/>
              <w:spacing w:before="221" w:line="227" w:lineRule="auto"/>
              <w:ind w:left="113"/>
            </w:pPr>
            <w:r>
              <w:rPr>
                <w:spacing w:val="9"/>
              </w:rPr>
              <w:t>指标导出：菜单装配时长 路由数量 审计写入时延 执行器心跳暴露为指标</w:t>
            </w:r>
          </w:p>
        </w:tc>
      </w:tr>
      <w:tr w14:paraId="4186E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top"/>
          </w:tcPr>
          <w:p w14:paraId="3CCDDCC7">
            <w:pPr>
              <w:pStyle w:val="6"/>
              <w:spacing w:before="175" w:line="219" w:lineRule="auto"/>
              <w:ind w:left="230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工时预估</w:t>
            </w:r>
          </w:p>
        </w:tc>
        <w:tc>
          <w:tcPr>
            <w:tcW w:w="8411" w:type="dxa"/>
            <w:vAlign w:val="top"/>
          </w:tcPr>
          <w:p w14:paraId="032D5654">
            <w:pPr>
              <w:pStyle w:val="6"/>
              <w:spacing w:before="211" w:line="231" w:lineRule="auto"/>
              <w:ind w:left="115"/>
            </w:pPr>
            <w:r>
              <w:rPr>
                <w:spacing w:val="2"/>
              </w:rPr>
              <w:t>5.5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人日</w:t>
            </w:r>
          </w:p>
        </w:tc>
      </w:tr>
      <w:tr w14:paraId="3A77D3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7" w:hRule="atLeast"/>
        </w:trPr>
        <w:tc>
          <w:tcPr>
            <w:tcW w:w="1555" w:type="dxa"/>
            <w:vAlign w:val="top"/>
          </w:tcPr>
          <w:p w14:paraId="7A413EA4">
            <w:pPr>
              <w:spacing w:line="312" w:lineRule="auto"/>
              <w:rPr>
                <w:rFonts w:ascii="Arial"/>
                <w:sz w:val="21"/>
              </w:rPr>
            </w:pPr>
          </w:p>
          <w:p w14:paraId="42FC1FB8">
            <w:pPr>
              <w:spacing w:line="313" w:lineRule="auto"/>
              <w:rPr>
                <w:rFonts w:ascii="Arial"/>
                <w:sz w:val="21"/>
              </w:rPr>
            </w:pPr>
          </w:p>
          <w:p w14:paraId="41D9B752">
            <w:pPr>
              <w:spacing w:line="313" w:lineRule="auto"/>
              <w:rPr>
                <w:rFonts w:ascii="Arial"/>
                <w:sz w:val="21"/>
              </w:rPr>
            </w:pPr>
          </w:p>
          <w:p w14:paraId="668A362A">
            <w:pPr>
              <w:pStyle w:val="6"/>
              <w:spacing w:before="91" w:line="220" w:lineRule="auto"/>
              <w:ind w:left="365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产出物</w:t>
            </w:r>
          </w:p>
        </w:tc>
        <w:tc>
          <w:tcPr>
            <w:tcW w:w="8411" w:type="dxa"/>
            <w:vAlign w:val="top"/>
          </w:tcPr>
          <w:p w14:paraId="5B67C93F">
            <w:pPr>
              <w:pStyle w:val="6"/>
              <w:spacing w:before="134" w:line="228" w:lineRule="auto"/>
              <w:ind w:left="129"/>
            </w:pPr>
            <w:r>
              <w:rPr>
                <w:spacing w:val="4"/>
              </w:rPr>
              <w:t>•</w:t>
            </w:r>
            <w:r>
              <w:rPr>
                <w:spacing w:val="44"/>
              </w:rPr>
              <w:t xml:space="preserve"> </w:t>
            </w:r>
            <w:r>
              <w:rPr>
                <w:spacing w:val="4"/>
              </w:rPr>
              <w:t>已合并的后端代码与配置</w:t>
            </w:r>
          </w:p>
          <w:p w14:paraId="634D1421">
            <w:pPr>
              <w:pStyle w:val="6"/>
              <w:spacing w:before="220" w:line="228" w:lineRule="auto"/>
              <w:ind w:left="129"/>
            </w:pPr>
            <w:r>
              <w:rPr>
                <w:spacing w:val="5"/>
              </w:rPr>
              <w:t>• 权限 菜单</w:t>
            </w:r>
            <w:r>
              <w:rPr>
                <w:spacing w:val="33"/>
              </w:rPr>
              <w:t xml:space="preserve"> </w:t>
            </w:r>
            <w:r>
              <w:rPr>
                <w:spacing w:val="5"/>
              </w:rPr>
              <w:t>路由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多数据源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调度集成设计说明</w:t>
            </w:r>
          </w:p>
          <w:p w14:paraId="285CD494">
            <w:pPr>
              <w:pStyle w:val="6"/>
              <w:spacing w:before="221" w:line="227" w:lineRule="auto"/>
              <w:ind w:left="129"/>
            </w:pPr>
            <w:r>
              <w:rPr>
                <w:spacing w:val="6"/>
              </w:rPr>
              <w:t>• 审计日志表结构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建表脚本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指标面板配置</w:t>
            </w:r>
          </w:p>
          <w:p w14:paraId="788656BE">
            <w:pPr>
              <w:pStyle w:val="6"/>
              <w:spacing w:before="222" w:line="226" w:lineRule="auto"/>
              <w:ind w:left="129"/>
            </w:pPr>
            <w:r>
              <w:rPr>
                <w:spacing w:val="8"/>
              </w:rPr>
              <w:t>• 动态路由与权限校验端到端用例与性能对比报告</w:t>
            </w:r>
          </w:p>
          <w:p w14:paraId="56F17FDA">
            <w:pPr>
              <w:pStyle w:val="6"/>
              <w:spacing w:before="222" w:line="228" w:lineRule="auto"/>
              <w:ind w:left="129"/>
            </w:pPr>
            <w:r>
              <w:rPr>
                <w:spacing w:val="8"/>
              </w:rPr>
              <w:t>• 调度任务参数在线配置接口文档与联调用例</w:t>
            </w:r>
          </w:p>
        </w:tc>
      </w:tr>
    </w:tbl>
    <w:p w14:paraId="31047C60">
      <w:pPr>
        <w:spacing w:before="60" w:line="280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6013"/>
        <w:gridCol w:w="2398"/>
      </w:tblGrid>
      <w:tr w14:paraId="4B374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555" w:type="dxa"/>
            <w:vAlign w:val="top"/>
          </w:tcPr>
          <w:p w14:paraId="5D5FF6FA">
            <w:pPr>
              <w:rPr>
                <w:rFonts w:ascii="Arial"/>
                <w:sz w:val="21"/>
              </w:rPr>
            </w:pPr>
          </w:p>
        </w:tc>
        <w:tc>
          <w:tcPr>
            <w:tcW w:w="8411" w:type="dxa"/>
            <w:gridSpan w:val="2"/>
            <w:vAlign w:val="top"/>
          </w:tcPr>
          <w:p w14:paraId="3FC0BBFA">
            <w:pPr>
              <w:pStyle w:val="6"/>
              <w:spacing w:before="133" w:line="227" w:lineRule="auto"/>
              <w:ind w:left="129"/>
            </w:pPr>
            <w:r>
              <w:rPr>
                <w:spacing w:val="7"/>
              </w:rPr>
              <w:t>• 调试断点脚本与调用链路图</w:t>
            </w:r>
          </w:p>
        </w:tc>
      </w:tr>
      <w:tr w14:paraId="6D6FD1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7" w:hRule="atLeast"/>
        </w:trPr>
        <w:tc>
          <w:tcPr>
            <w:tcW w:w="1555" w:type="dxa"/>
            <w:vAlign w:val="top"/>
          </w:tcPr>
          <w:p w14:paraId="34721BC9">
            <w:pPr>
              <w:spacing w:line="248" w:lineRule="auto"/>
              <w:rPr>
                <w:rFonts w:ascii="Arial"/>
                <w:sz w:val="21"/>
              </w:rPr>
            </w:pPr>
          </w:p>
          <w:p w14:paraId="70F65FFC">
            <w:pPr>
              <w:spacing w:line="248" w:lineRule="auto"/>
              <w:rPr>
                <w:rFonts w:ascii="Arial"/>
                <w:sz w:val="21"/>
              </w:rPr>
            </w:pPr>
          </w:p>
          <w:p w14:paraId="4F55A2D5">
            <w:pPr>
              <w:spacing w:line="248" w:lineRule="auto"/>
              <w:rPr>
                <w:rFonts w:ascii="Arial"/>
                <w:sz w:val="21"/>
              </w:rPr>
            </w:pPr>
          </w:p>
          <w:p w14:paraId="080CBBB0">
            <w:pPr>
              <w:spacing w:line="248" w:lineRule="auto"/>
              <w:rPr>
                <w:rFonts w:ascii="Arial"/>
                <w:sz w:val="21"/>
              </w:rPr>
            </w:pPr>
          </w:p>
          <w:p w14:paraId="52083E9A">
            <w:pPr>
              <w:spacing w:line="248" w:lineRule="auto"/>
              <w:rPr>
                <w:rFonts w:ascii="Arial"/>
                <w:sz w:val="21"/>
              </w:rPr>
            </w:pPr>
          </w:p>
          <w:p w14:paraId="059E70F4">
            <w:pPr>
              <w:spacing w:line="248" w:lineRule="auto"/>
              <w:rPr>
                <w:rFonts w:ascii="Arial"/>
                <w:sz w:val="21"/>
              </w:rPr>
            </w:pPr>
          </w:p>
          <w:p w14:paraId="13490EA2">
            <w:pPr>
              <w:spacing w:line="248" w:lineRule="auto"/>
              <w:rPr>
                <w:rFonts w:ascii="Arial"/>
                <w:sz w:val="21"/>
              </w:rPr>
            </w:pPr>
          </w:p>
          <w:p w14:paraId="244CF3CD">
            <w:pPr>
              <w:spacing w:line="248" w:lineRule="auto"/>
              <w:rPr>
                <w:rFonts w:ascii="Arial"/>
                <w:sz w:val="21"/>
              </w:rPr>
            </w:pPr>
          </w:p>
          <w:p w14:paraId="5222C554">
            <w:pPr>
              <w:spacing w:line="248" w:lineRule="auto"/>
              <w:rPr>
                <w:rFonts w:ascii="Arial"/>
                <w:sz w:val="21"/>
              </w:rPr>
            </w:pPr>
          </w:p>
          <w:p w14:paraId="3C7E61BF">
            <w:pPr>
              <w:spacing w:line="248" w:lineRule="auto"/>
              <w:rPr>
                <w:rFonts w:ascii="Arial"/>
                <w:sz w:val="21"/>
              </w:rPr>
            </w:pPr>
          </w:p>
          <w:p w14:paraId="1C6AF7D2">
            <w:pPr>
              <w:spacing w:line="248" w:lineRule="auto"/>
              <w:rPr>
                <w:rFonts w:ascii="Arial"/>
                <w:sz w:val="21"/>
              </w:rPr>
            </w:pPr>
          </w:p>
          <w:p w14:paraId="05868793">
            <w:pPr>
              <w:spacing w:line="248" w:lineRule="auto"/>
              <w:rPr>
                <w:rFonts w:ascii="Arial"/>
                <w:sz w:val="21"/>
              </w:rPr>
            </w:pPr>
          </w:p>
          <w:p w14:paraId="476C6B19">
            <w:pPr>
              <w:spacing w:line="249" w:lineRule="auto"/>
              <w:rPr>
                <w:rFonts w:ascii="Arial"/>
                <w:sz w:val="21"/>
              </w:rPr>
            </w:pPr>
          </w:p>
          <w:p w14:paraId="5F46B372">
            <w:pPr>
              <w:spacing w:line="249" w:lineRule="auto"/>
              <w:rPr>
                <w:rFonts w:ascii="Arial"/>
                <w:sz w:val="21"/>
              </w:rPr>
            </w:pPr>
          </w:p>
          <w:p w14:paraId="1E8680E5">
            <w:pPr>
              <w:spacing w:line="249" w:lineRule="auto"/>
              <w:rPr>
                <w:rFonts w:ascii="Arial"/>
                <w:sz w:val="21"/>
              </w:rPr>
            </w:pPr>
          </w:p>
          <w:p w14:paraId="4712F592">
            <w:pPr>
              <w:pStyle w:val="6"/>
              <w:spacing w:before="91" w:line="220" w:lineRule="auto"/>
              <w:ind w:left="225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6013" w:type="dxa"/>
            <w:tcBorders>
              <w:right w:val="nil"/>
            </w:tcBorders>
            <w:vAlign w:val="top"/>
          </w:tcPr>
          <w:p w14:paraId="508460DB">
            <w:pPr>
              <w:pStyle w:val="6"/>
              <w:spacing w:before="131" w:line="229" w:lineRule="auto"/>
              <w:ind w:left="114"/>
            </w:pPr>
            <w:r>
              <w:rPr>
                <w:spacing w:val="3"/>
              </w:rPr>
              <w:t>功能</w:t>
            </w:r>
          </w:p>
          <w:p w14:paraId="53F14686">
            <w:pPr>
              <w:pStyle w:val="6"/>
              <w:spacing w:before="219" w:line="228" w:lineRule="auto"/>
              <w:ind w:left="129"/>
            </w:pPr>
            <w:r>
              <w:rPr>
                <w:spacing w:val="8"/>
              </w:rPr>
              <w:t>• 动态菜单与路由可后台刷新并在多实例间一致</w:t>
            </w:r>
          </w:p>
          <w:p w14:paraId="0DA0E25C">
            <w:pPr>
              <w:pStyle w:val="6"/>
              <w:spacing w:before="221" w:line="228" w:lineRule="auto"/>
              <w:ind w:left="129"/>
            </w:pPr>
            <w:r>
              <w:rPr>
                <w:spacing w:val="8"/>
              </w:rPr>
              <w:t>• 多数据源按请求上下文正确路由并支持灰度与回退</w:t>
            </w:r>
          </w:p>
          <w:p w14:paraId="272D8CEA">
            <w:pPr>
              <w:pStyle w:val="6"/>
              <w:spacing w:before="221" w:line="227" w:lineRule="auto"/>
              <w:ind w:left="129"/>
            </w:pPr>
            <w:r>
              <w:rPr>
                <w:spacing w:val="8"/>
              </w:rPr>
              <w:t>• 权限拦截点产生日志并可按用户 角色 路径</w:t>
            </w:r>
            <w:r>
              <w:rPr>
                <w:spacing w:val="7"/>
              </w:rPr>
              <w:t>查询</w:t>
            </w:r>
          </w:p>
          <w:p w14:paraId="27BC8871">
            <w:pPr>
              <w:pStyle w:val="6"/>
              <w:spacing w:before="221" w:line="331" w:lineRule="auto"/>
              <w:ind w:left="113" w:right="867" w:firstLine="15"/>
            </w:pPr>
            <w:r>
              <w:rPr>
                <w:spacing w:val="9"/>
              </w:rPr>
              <w:t xml:space="preserve">• </w:t>
            </w:r>
            <w:r>
              <w:t>Xxl</w:t>
            </w:r>
            <w:r>
              <w:rPr>
                <w:spacing w:val="9"/>
              </w:rPr>
              <w:t xml:space="preserve"> </w:t>
            </w:r>
            <w:r>
              <w:t>Job</w:t>
            </w:r>
            <w:r>
              <w:rPr>
                <w:spacing w:val="9"/>
              </w:rPr>
              <w:t xml:space="preserve"> 任务参数在线更新即时生效并记录审计历史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性能</w:t>
            </w:r>
          </w:p>
          <w:p w14:paraId="51C85221">
            <w:pPr>
              <w:pStyle w:val="6"/>
              <w:spacing w:before="219" w:line="228" w:lineRule="auto"/>
              <w:ind w:left="129"/>
            </w:pPr>
            <w:r>
              <w:rPr>
                <w:spacing w:val="8"/>
              </w:rPr>
              <w:t>• 动态装配路由耗时与实例数量线性可控，装配失败可重试</w:t>
            </w:r>
          </w:p>
          <w:p w14:paraId="24A7202C">
            <w:pPr>
              <w:pStyle w:val="6"/>
              <w:spacing w:before="221" w:line="227" w:lineRule="auto"/>
              <w:ind w:left="129"/>
            </w:pPr>
            <w:r>
              <w:rPr>
                <w:spacing w:val="8"/>
              </w:rPr>
              <w:t>• 审计日志吞吐不低于每秒一千条并支持采样</w:t>
            </w:r>
          </w:p>
          <w:p w14:paraId="29540F02">
            <w:pPr>
              <w:pStyle w:val="6"/>
              <w:spacing w:before="221" w:line="228" w:lineRule="auto"/>
              <w:ind w:left="129"/>
            </w:pPr>
            <w:r>
              <w:rPr>
                <w:spacing w:val="8"/>
              </w:rPr>
              <w:t>• 多数据源切换不显著增加接口延迟，新增开销低于百分之五</w:t>
            </w:r>
          </w:p>
          <w:p w14:paraId="4F23E5CD">
            <w:pPr>
              <w:pStyle w:val="6"/>
              <w:spacing w:before="222" w:line="229" w:lineRule="auto"/>
              <w:ind w:left="115"/>
            </w:pPr>
            <w:r>
              <w:rPr>
                <w:spacing w:val="2"/>
              </w:rPr>
              <w:t>安全</w:t>
            </w:r>
          </w:p>
          <w:p w14:paraId="7F95EBE8">
            <w:pPr>
              <w:pStyle w:val="6"/>
              <w:spacing w:before="219" w:line="228" w:lineRule="auto"/>
              <w:ind w:left="129"/>
            </w:pPr>
            <w:r>
              <w:rPr>
                <w:spacing w:val="8"/>
              </w:rPr>
              <w:t>• 动态路由受白名单限制，拒绝任意处理器绑定</w:t>
            </w:r>
          </w:p>
          <w:p w14:paraId="1C7D99D6">
            <w:pPr>
              <w:pStyle w:val="6"/>
              <w:spacing w:before="221" w:line="228" w:lineRule="auto"/>
              <w:ind w:left="129"/>
            </w:pPr>
            <w:r>
              <w:rPr>
                <w:spacing w:val="8"/>
              </w:rPr>
              <w:t>• 审计日志屏蔽敏感字段，管理接口鉴权完备</w:t>
            </w:r>
          </w:p>
          <w:p w14:paraId="05E0759A">
            <w:pPr>
              <w:pStyle w:val="6"/>
              <w:spacing w:before="221" w:line="228" w:lineRule="auto"/>
              <w:ind w:left="129"/>
            </w:pPr>
            <w:r>
              <w:rPr>
                <w:spacing w:val="7"/>
              </w:rPr>
              <w:t>• 调度参数修改需鉴权并具备回滚能力</w:t>
            </w:r>
          </w:p>
          <w:p w14:paraId="74C82D0B">
            <w:pPr>
              <w:pStyle w:val="6"/>
              <w:spacing w:before="221" w:line="228" w:lineRule="auto"/>
              <w:ind w:left="110"/>
            </w:pPr>
            <w:r>
              <w:rPr>
                <w:spacing w:val="7"/>
              </w:rPr>
              <w:t>代码质量</w:t>
            </w:r>
          </w:p>
          <w:p w14:paraId="62402696">
            <w:pPr>
              <w:pStyle w:val="6"/>
              <w:spacing w:before="221" w:line="228" w:lineRule="auto"/>
              <w:ind w:left="129"/>
            </w:pPr>
            <w:r>
              <w:rPr>
                <w:spacing w:val="8"/>
              </w:rPr>
              <w:t>• 单元测试覆盖核心模块并通过竞态检测</w:t>
            </w:r>
          </w:p>
          <w:p w14:paraId="5D29D9DE">
            <w:pPr>
              <w:pStyle w:val="6"/>
              <w:spacing w:before="222" w:line="367" w:lineRule="auto"/>
              <w:ind w:left="129" w:right="1918"/>
            </w:pPr>
            <w:r>
              <w:rPr>
                <w:spacing w:val="5"/>
              </w:rPr>
              <w:t>•</w:t>
            </w:r>
            <w:r>
              <w:rPr>
                <w:spacing w:val="66"/>
              </w:rPr>
              <w:t xml:space="preserve"> </w:t>
            </w:r>
            <w:r>
              <w:rPr>
                <w:spacing w:val="5"/>
              </w:rPr>
              <w:t>目录与命名符合团队规范并附类图与说明</w:t>
            </w:r>
            <w:r>
              <w:t xml:space="preserve"> </w:t>
            </w:r>
            <w:r>
              <w:rPr>
                <w:spacing w:val="8"/>
              </w:rPr>
              <w:t>• 配置可观测化并具备告警阈值与演练文档</w:t>
            </w:r>
          </w:p>
        </w:tc>
        <w:tc>
          <w:tcPr>
            <w:tcW w:w="2398" w:type="dxa"/>
            <w:tcBorders>
              <w:left w:val="nil"/>
            </w:tcBorders>
            <w:vAlign w:val="top"/>
          </w:tcPr>
          <w:p w14:paraId="3479F6D6">
            <w:pPr>
              <w:spacing w:line="276" w:lineRule="auto"/>
              <w:rPr>
                <w:rFonts w:ascii="Arial"/>
                <w:sz w:val="21"/>
              </w:rPr>
            </w:pPr>
          </w:p>
          <w:p w14:paraId="3328D43F">
            <w:pPr>
              <w:spacing w:line="277" w:lineRule="auto"/>
              <w:rPr>
                <w:rFonts w:ascii="Arial"/>
                <w:sz w:val="21"/>
              </w:rPr>
            </w:pPr>
          </w:p>
          <w:p w14:paraId="3324C081">
            <w:pPr>
              <w:spacing w:line="277" w:lineRule="auto"/>
              <w:rPr>
                <w:rFonts w:ascii="Arial"/>
                <w:sz w:val="21"/>
              </w:rPr>
            </w:pPr>
          </w:p>
          <w:p w14:paraId="5FFC65A6">
            <w:pPr>
              <w:spacing w:line="277" w:lineRule="auto"/>
              <w:rPr>
                <w:rFonts w:ascii="Arial"/>
                <w:sz w:val="21"/>
              </w:rPr>
            </w:pPr>
          </w:p>
          <w:p w14:paraId="751A1358">
            <w:pPr>
              <w:spacing w:line="277" w:lineRule="auto"/>
              <w:rPr>
                <w:rFonts w:ascii="Arial"/>
                <w:sz w:val="21"/>
              </w:rPr>
            </w:pPr>
          </w:p>
          <w:p w14:paraId="056A7367">
            <w:pPr>
              <w:spacing w:line="1763" w:lineRule="exact"/>
              <w:ind w:firstLine="242"/>
            </w:pPr>
          </w:p>
          <w:p w14:paraId="3F5F9022">
            <w:pPr>
              <w:spacing w:line="287" w:lineRule="auto"/>
              <w:rPr>
                <w:rFonts w:ascii="Arial"/>
                <w:sz w:val="21"/>
              </w:rPr>
            </w:pPr>
          </w:p>
          <w:p w14:paraId="3E5950BB">
            <w:pPr>
              <w:spacing w:line="287" w:lineRule="auto"/>
              <w:rPr>
                <w:rFonts w:ascii="Arial"/>
                <w:sz w:val="21"/>
              </w:rPr>
            </w:pPr>
          </w:p>
          <w:p w14:paraId="07981DCA">
            <w:pPr>
              <w:spacing w:line="287" w:lineRule="auto"/>
              <w:rPr>
                <w:rFonts w:ascii="Arial"/>
                <w:sz w:val="21"/>
              </w:rPr>
            </w:pPr>
          </w:p>
          <w:p w14:paraId="3368A2DD">
            <w:pPr>
              <w:spacing w:line="288" w:lineRule="auto"/>
              <w:rPr>
                <w:rFonts w:ascii="Arial"/>
                <w:sz w:val="21"/>
              </w:rPr>
            </w:pPr>
          </w:p>
          <w:p w14:paraId="621E5983">
            <w:pPr>
              <w:spacing w:line="1763" w:lineRule="exact"/>
              <w:ind w:firstLine="242"/>
            </w:pPr>
            <w:bookmarkStart w:id="0" w:name="_GoBack"/>
            <w:bookmarkEnd w:id="0"/>
          </w:p>
        </w:tc>
      </w:tr>
      <w:tr w14:paraId="44637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555" w:type="dxa"/>
            <w:vAlign w:val="top"/>
          </w:tcPr>
          <w:p w14:paraId="7308850C">
            <w:pPr>
              <w:pStyle w:val="6"/>
              <w:spacing w:before="176" w:line="221" w:lineRule="auto"/>
              <w:ind w:left="508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备注</w:t>
            </w:r>
          </w:p>
        </w:tc>
        <w:tc>
          <w:tcPr>
            <w:tcW w:w="8411" w:type="dxa"/>
            <w:gridSpan w:val="2"/>
            <w:vAlign w:val="top"/>
          </w:tcPr>
          <w:p w14:paraId="345877AB">
            <w:pPr>
              <w:pStyle w:val="6"/>
              <w:spacing w:before="211" w:line="228" w:lineRule="auto"/>
              <w:ind w:left="110"/>
            </w:pPr>
            <w:r>
              <w:rPr>
                <w:spacing w:val="9"/>
              </w:rPr>
              <w:t>代码注释中需要写明工单编号</w:t>
            </w:r>
          </w:p>
        </w:tc>
      </w:tr>
    </w:tbl>
    <w:p w14:paraId="517394D8">
      <w:pPr>
        <w:spacing w:before="60" w:line="280" w:lineRule="exact"/>
        <w:rPr>
          <w:rFonts w:ascii="等线" w:hAnsi="等线" w:eastAsia="等线" w:cs="等线"/>
          <w:sz w:val="18"/>
          <w:szCs w:val="18"/>
        </w:rPr>
      </w:pPr>
    </w:p>
    <w:sectPr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D475B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A134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E3314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2209</Words>
  <Characters>2410</Characters>
  <TotalTime>0</TotalTime>
  <ScaleCrop>false</ScaleCrop>
  <LinksUpToDate>false</LinksUpToDate>
  <CharactersWithSpaces>3183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2025-09-10T02:15:07Z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2025-09-10T10:13:22Z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EB413DD544AF4AB39F6480E40335455D_12</vt:lpwstr>
  </property>
</Properties>
</file>