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4F0B8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7FE46084">
      <w:pPr>
        <w:spacing w:before="99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9"/>
        <w:gridCol w:w="6751"/>
      </w:tblGrid>
      <w:tr w14:paraId="7755F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2989" w:type="dxa"/>
            <w:vAlign w:val="top"/>
          </w:tcPr>
          <w:p w14:paraId="4E93478F">
            <w:pPr>
              <w:spacing w:before="214" w:line="221" w:lineRule="auto"/>
              <w:ind w:left="12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751" w:type="dxa"/>
            <w:vAlign w:val="top"/>
          </w:tcPr>
          <w:p w14:paraId="323A9F85">
            <w:pPr>
              <w:spacing w:before="214" w:line="220" w:lineRule="auto"/>
              <w:ind w:left="13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7"/>
                <w:sz w:val="28"/>
                <w:szCs w:val="28"/>
              </w:rPr>
              <w:t>网约车系统</w:t>
            </w:r>
          </w:p>
        </w:tc>
      </w:tr>
      <w:tr w14:paraId="65E26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2989" w:type="dxa"/>
            <w:vAlign w:val="top"/>
          </w:tcPr>
          <w:p w14:paraId="0DFCF9C6">
            <w:pPr>
              <w:spacing w:before="172" w:line="220" w:lineRule="auto"/>
              <w:ind w:left="12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工单编号</w:t>
            </w:r>
          </w:p>
        </w:tc>
        <w:tc>
          <w:tcPr>
            <w:tcW w:w="6751" w:type="dxa"/>
            <w:vAlign w:val="top"/>
          </w:tcPr>
          <w:p w14:paraId="6894653A">
            <w:pPr>
              <w:spacing w:before="172" w:line="220" w:lineRule="auto"/>
              <w:ind w:left="11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全栈开发-网约车-网约车订单中心与派单规则配置工</w:t>
            </w:r>
          </w:p>
          <w:p w14:paraId="38722284">
            <w:pPr>
              <w:spacing w:before="289" w:line="221" w:lineRule="auto"/>
              <w:ind w:left="11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单</w:t>
            </w:r>
          </w:p>
        </w:tc>
      </w:tr>
      <w:tr w14:paraId="28F21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27B22988">
            <w:pPr>
              <w:spacing w:before="174" w:line="221" w:lineRule="auto"/>
              <w:ind w:left="11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创建时间</w:t>
            </w:r>
          </w:p>
        </w:tc>
        <w:tc>
          <w:tcPr>
            <w:tcW w:w="6751" w:type="dxa"/>
            <w:vAlign w:val="top"/>
          </w:tcPr>
          <w:p w14:paraId="202365F2">
            <w:pPr>
              <w:spacing w:before="174"/>
              <w:ind w:left="11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2"/>
                <w:sz w:val="28"/>
                <w:szCs w:val="28"/>
              </w:rPr>
              <w:t>2025-09</w:t>
            </w:r>
          </w:p>
        </w:tc>
      </w:tr>
      <w:tr w14:paraId="7A37E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89" w:type="dxa"/>
            <w:vAlign w:val="top"/>
          </w:tcPr>
          <w:p w14:paraId="2CF46F83">
            <w:pPr>
              <w:spacing w:before="175" w:line="221" w:lineRule="auto"/>
              <w:ind w:left="11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创建人</w:t>
            </w:r>
          </w:p>
        </w:tc>
        <w:tc>
          <w:tcPr>
            <w:tcW w:w="6751" w:type="dxa"/>
            <w:vAlign w:val="top"/>
          </w:tcPr>
          <w:p w14:paraId="38CB1864">
            <w:pPr>
              <w:spacing w:before="175" w:line="219" w:lineRule="auto"/>
              <w:ind w:left="11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邹世军</w:t>
            </w:r>
          </w:p>
        </w:tc>
      </w:tr>
    </w:tbl>
    <w:p w14:paraId="4D2A3308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footerReference r:id="rId5" w:type="default"/>
          <w:pgSz w:w="11906" w:h="16839"/>
          <w:pgMar w:top="400" w:right="571" w:bottom="400" w:left="731" w:header="0" w:footer="0" w:gutter="0"/>
          <w:cols w:space="720" w:num="1"/>
        </w:sectPr>
      </w:pPr>
    </w:p>
    <w:p w14:paraId="761F3327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7F8CC4DC">
      <w:pPr>
        <w:spacing w:before="125"/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9471"/>
      </w:tblGrid>
      <w:tr w14:paraId="67DE94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7" w:hRule="atLeast"/>
        </w:trPr>
        <w:tc>
          <w:tcPr>
            <w:tcW w:w="495" w:type="dxa"/>
            <w:textDirection w:val="tbRlV"/>
            <w:vAlign w:val="top"/>
          </w:tcPr>
          <w:p w14:paraId="3FE7563A">
            <w:pPr>
              <w:pStyle w:val="6"/>
              <w:spacing w:before="101" w:line="209" w:lineRule="auto"/>
              <w:ind w:left="516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任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务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描</w:t>
            </w:r>
            <w:r>
              <w:rPr>
                <w:spacing w:val="31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述</w:t>
            </w:r>
          </w:p>
        </w:tc>
        <w:tc>
          <w:tcPr>
            <w:tcW w:w="9471" w:type="dxa"/>
            <w:vAlign w:val="top"/>
          </w:tcPr>
          <w:p w14:paraId="420D799F">
            <w:pPr>
              <w:pStyle w:val="6"/>
              <w:spacing w:before="40" w:line="219" w:lineRule="auto"/>
              <w:ind w:left="118"/>
            </w:pPr>
            <w:r>
              <w:rPr>
                <w:spacing w:val="-4"/>
              </w:rPr>
              <w:t>背景介绍</w:t>
            </w:r>
          </w:p>
          <w:p w14:paraId="14052D1E">
            <w:pPr>
              <w:pStyle w:val="6"/>
              <w:spacing w:before="27" w:line="241" w:lineRule="auto"/>
              <w:ind w:left="114" w:right="106"/>
            </w:pPr>
            <w:r>
              <w:rPr>
                <w:spacing w:val="-3"/>
              </w:rPr>
              <w:t>本工单面向网约车订单，围绕订单管理、订单详情、订单跟踪、派单设置四大能力进行后</w:t>
            </w:r>
            <w:r>
              <w:t xml:space="preserve"> </w:t>
            </w:r>
            <w:r>
              <w:rPr>
                <w:spacing w:val="-3"/>
              </w:rPr>
              <w:t>端实现与优化。目标是在高并发、强一致与强实时的业务场景下，提供低延迟的查询与操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作接口、可靠的订单状态机与审计、稳定的实时轨迹推送与轨迹回放、以及可配置可灰度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的派单规则体系，满足日常运营与峰值调度需求，并为后续数据治理与风控留出可观测与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扩展空间。</w:t>
            </w:r>
          </w:p>
          <w:p w14:paraId="3C3BAFB0">
            <w:pPr>
              <w:pStyle w:val="6"/>
              <w:spacing w:before="306" w:line="219" w:lineRule="auto"/>
              <w:ind w:left="115"/>
            </w:pPr>
            <w:r>
              <w:rPr>
                <w:spacing w:val="-3"/>
              </w:rPr>
              <w:t>技术说明</w:t>
            </w:r>
          </w:p>
          <w:p w14:paraId="0CE8272B">
            <w:pPr>
              <w:pStyle w:val="6"/>
              <w:spacing w:before="26"/>
              <w:ind w:left="143" w:right="45" w:hanging="28"/>
            </w:pPr>
            <w:r>
              <w:rPr>
                <w:spacing w:val="-3"/>
              </w:rPr>
              <w:t>架构与框架：Gin 或 go-zero</w:t>
            </w:r>
            <w:r>
              <w:rPr>
                <w:spacing w:val="-42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spacing w:val="-3"/>
              </w:rPr>
              <w:t>HTTP</w:t>
            </w:r>
            <w:r>
              <w:rPr>
                <w:spacing w:val="-3"/>
              </w:rPr>
              <w:fldChar w:fldCharType="end"/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网关层，分层设计 Controller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Service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Repository，</w:t>
            </w:r>
            <w:r>
              <w:t xml:space="preserve"> </w:t>
            </w:r>
            <w:r>
              <w:rPr>
                <w:spacing w:val="-6"/>
              </w:rPr>
              <w:t>内聚订单域逻辑</w:t>
            </w:r>
          </w:p>
          <w:p w14:paraId="585CC856">
            <w:pPr>
              <w:pStyle w:val="6"/>
              <w:spacing w:before="2" w:line="239" w:lineRule="auto"/>
              <w:ind w:left="114" w:right="121" w:hanging="1"/>
            </w:pPr>
            <w:r>
              <w:t>存储与索引：MySQL 作为主存，事务与状态机落库；建立来源 状态</w:t>
            </w:r>
            <w:r>
              <w:rPr>
                <w:spacing w:val="-1"/>
              </w:rPr>
              <w:t xml:space="preserve"> 创建时间 车牌号联</w:t>
            </w:r>
            <w:r>
              <w:t xml:space="preserve"> 合索引；轨迹点冷热分层存储，热数据 Red</w:t>
            </w:r>
            <w:r>
              <w:rPr>
                <w:spacing w:val="-1"/>
              </w:rPr>
              <w:t>is，冷数据 MySQL</w:t>
            </w:r>
          </w:p>
          <w:p w14:paraId="7B097FA1">
            <w:pPr>
              <w:pStyle w:val="6"/>
              <w:ind w:left="116" w:right="106"/>
            </w:pPr>
            <w:r>
              <w:rPr>
                <w:spacing w:val="-11"/>
              </w:rPr>
              <w:t>缓存与队列：Redis 用于列表缓存、幂等键、地理位置索引 GEO、实时态通知；Redis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Stream</w:t>
            </w:r>
            <w:r>
              <w:t xml:space="preserve"> </w:t>
            </w:r>
            <w:r>
              <w:rPr>
                <w:spacing w:val="-2"/>
              </w:rPr>
              <w:t>用作轻量事件总线</w:t>
            </w:r>
          </w:p>
          <w:p w14:paraId="1E049B91">
            <w:pPr>
              <w:pStyle w:val="6"/>
              <w:ind w:left="118" w:right="106" w:firstLine="1"/>
            </w:pPr>
            <w:r>
              <w:rPr>
                <w:spacing w:val="-3"/>
              </w:rPr>
              <w:t>实时通道：WebSocket 推送订单状态与司机位置，支持断线重连与补发；服务端维护订阅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关系与节流</w:t>
            </w:r>
          </w:p>
          <w:p w14:paraId="7C5C859E">
            <w:pPr>
              <w:pStyle w:val="6"/>
              <w:spacing w:before="2" w:line="239" w:lineRule="auto"/>
              <w:ind w:left="111" w:right="106" w:firstLine="4"/>
            </w:pPr>
            <w:r>
              <w:rPr>
                <w:spacing w:val="-3"/>
              </w:rPr>
              <w:t>派单引擎：可插拔策略与可配置参数，候选司机池由后台配置；基于时间窗可用性校验与</w:t>
            </w:r>
            <w:r>
              <w:t xml:space="preserve"> </w:t>
            </w:r>
            <w:r>
              <w:rPr>
                <w:spacing w:val="-1"/>
              </w:rPr>
              <w:t>GEO 距离计算，并应用多维评分模型</w:t>
            </w:r>
          </w:p>
          <w:p w14:paraId="62796F5B">
            <w:pPr>
              <w:pStyle w:val="6"/>
              <w:ind w:left="126" w:right="121" w:hanging="10"/>
            </w:pPr>
            <w:r>
              <w:t>可观测与审计：Zap 结构化日志，Prometheus 指标，审计表记</w:t>
            </w:r>
            <w:r>
              <w:rPr>
                <w:spacing w:val="-1"/>
              </w:rPr>
              <w:t>录关键变更，链路 ID 贯</w:t>
            </w:r>
            <w:r>
              <w:t xml:space="preserve"> </w:t>
            </w:r>
            <w:r>
              <w:rPr>
                <w:spacing w:val="-6"/>
              </w:rPr>
              <w:t>穿全链路</w:t>
            </w:r>
          </w:p>
          <w:p w14:paraId="7454ECB2">
            <w:pPr>
              <w:pStyle w:val="6"/>
              <w:spacing w:before="1" w:line="242" w:lineRule="auto"/>
              <w:ind w:left="122" w:right="121" w:hanging="9"/>
            </w:pPr>
            <w:r>
              <w:t>代码规范：Go1.20+，error 包装、上下文传递、接口幂等、事务</w:t>
            </w:r>
            <w:r>
              <w:rPr>
                <w:spacing w:val="-1"/>
              </w:rPr>
              <w:t>边界清晰，单测覆盖核</w:t>
            </w:r>
            <w:r>
              <w:t xml:space="preserve"> </w:t>
            </w:r>
            <w:r>
              <w:rPr>
                <w:spacing w:val="-6"/>
              </w:rPr>
              <w:t>心路径</w:t>
            </w:r>
          </w:p>
          <w:p w14:paraId="6C7F579D">
            <w:pPr>
              <w:pStyle w:val="6"/>
              <w:spacing w:before="307" w:line="219" w:lineRule="auto"/>
              <w:ind w:left="113"/>
            </w:pPr>
            <w:r>
              <w:rPr>
                <w:spacing w:val="-3"/>
              </w:rPr>
              <w:t>操作流程</w:t>
            </w:r>
          </w:p>
          <w:p w14:paraId="3E5EEA69">
            <w:pPr>
              <w:pStyle w:val="6"/>
              <w:spacing w:before="27"/>
              <w:ind w:left="114" w:right="106" w:firstLine="3"/>
            </w:pPr>
            <w:r>
              <w:rPr>
                <w:spacing w:val="-3"/>
              </w:rPr>
              <w:t>设计订单状态机与订单表结构，补充二级索引与审计表；实现查询筛选与排序语义</w:t>
            </w:r>
            <w:r>
              <w:rPr>
                <w:spacing w:val="-4"/>
              </w:rPr>
              <w:t>并验证</w:t>
            </w:r>
            <w:r>
              <w:t xml:space="preserve"> </w:t>
            </w:r>
            <w:r>
              <w:rPr>
                <w:spacing w:val="-3"/>
              </w:rPr>
              <w:t>执行计划</w:t>
            </w:r>
          </w:p>
          <w:p w14:paraId="603782EE">
            <w:pPr>
              <w:pStyle w:val="6"/>
              <w:ind w:left="114" w:right="106" w:firstLine="5"/>
            </w:pPr>
            <w:r>
              <w:rPr>
                <w:spacing w:val="-3"/>
              </w:rPr>
              <w:t>实现订单取消与改派接口，加入幂等与权限校验；落审计与事件通知，确保事</w:t>
            </w:r>
            <w:r>
              <w:rPr>
                <w:spacing w:val="-4"/>
              </w:rPr>
              <w:t>务内状态一</w:t>
            </w:r>
            <w:r>
              <w:t xml:space="preserve"> 致</w:t>
            </w:r>
          </w:p>
          <w:p w14:paraId="2518BB3F">
            <w:pPr>
              <w:pStyle w:val="6"/>
              <w:ind w:left="123" w:right="121" w:hanging="6"/>
            </w:pPr>
            <w:r>
              <w:t>建立司机位置上报接口与 WebSocket 推送通道，落地轨</w:t>
            </w:r>
            <w:r>
              <w:rPr>
                <w:spacing w:val="-1"/>
              </w:rPr>
              <w:t>迹持久化与轨迹回放查询；实现</w:t>
            </w:r>
            <w:r>
              <w:t xml:space="preserve"> </w:t>
            </w:r>
            <w:r>
              <w:rPr>
                <w:spacing w:val="-3"/>
              </w:rPr>
              <w:t>断线重连与补发</w:t>
            </w:r>
          </w:p>
          <w:p w14:paraId="1D7B9009">
            <w:pPr>
              <w:pStyle w:val="6"/>
              <w:ind w:left="117" w:right="106" w:firstLine="2"/>
            </w:pPr>
            <w:r>
              <w:rPr>
                <w:spacing w:val="-2"/>
              </w:rPr>
              <w:t>实现派单设置后台接口与策略引擎，接入规则 a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b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 d；构建权重模型与灰度发布，可在</w:t>
            </w:r>
            <w:r>
              <w:t xml:space="preserve"> </w:t>
            </w:r>
            <w:r>
              <w:rPr>
                <w:spacing w:val="-2"/>
              </w:rPr>
              <w:t>线调整参数并即时生效</w:t>
            </w:r>
          </w:p>
          <w:p w14:paraId="493378E9">
            <w:pPr>
              <w:pStyle w:val="6"/>
              <w:spacing w:before="1" w:line="217" w:lineRule="auto"/>
              <w:ind w:left="118"/>
            </w:pPr>
            <w:r>
              <w:t>打通缓存、GEO 与可用性校验链路，完成端到端压测</w:t>
            </w:r>
            <w:r>
              <w:rPr>
                <w:spacing w:val="-1"/>
              </w:rPr>
              <w:t>与指标看板；输出联调与验收报告</w:t>
            </w:r>
          </w:p>
          <w:p w14:paraId="7FEED44B">
            <w:pPr>
              <w:spacing w:line="261" w:lineRule="auto"/>
              <w:rPr>
                <w:rFonts w:ascii="Arial"/>
                <w:sz w:val="21"/>
              </w:rPr>
            </w:pPr>
          </w:p>
          <w:p w14:paraId="47C09DDB">
            <w:pPr>
              <w:pStyle w:val="6"/>
              <w:spacing w:before="78"/>
              <w:ind w:left="117" w:right="8401"/>
            </w:pPr>
            <w:r>
              <w:rPr>
                <w:spacing w:val="-4"/>
              </w:rPr>
              <w:t>功能概述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订单管理</w:t>
            </w:r>
          </w:p>
          <w:p w14:paraId="0DE45D8D">
            <w:pPr>
              <w:pStyle w:val="6"/>
              <w:spacing w:before="3" w:line="231" w:lineRule="auto"/>
              <w:ind w:left="115" w:right="106"/>
              <w:jc w:val="both"/>
            </w:pPr>
            <w:r>
              <w:rPr>
                <w:spacing w:val="-3"/>
              </w:rPr>
              <w:t>提供按订单来源、订单状态、订单创建时间、车牌号的组合搜索与多字段排序，返回分页</w:t>
            </w:r>
            <w:r>
              <w:t xml:space="preserve"> </w:t>
            </w:r>
            <w:r>
              <w:rPr>
                <w:spacing w:val="-3"/>
              </w:rPr>
              <w:t>列表与聚合统计，保障在百万级订单量下的查询时延。实现订单取消与订单改派操作，取</w:t>
            </w:r>
            <w:r>
              <w:t xml:space="preserve"> </w:t>
            </w:r>
            <w:r>
              <w:rPr>
                <w:spacing w:val="-3"/>
              </w:rPr>
              <w:t>消需校验当前状态与权限并支持原因枚举，改派需触发派单引擎重算并记录改派链路。所</w:t>
            </w:r>
            <w:r>
              <w:t xml:space="preserve"> </w:t>
            </w:r>
            <w:r>
              <w:rPr>
                <w:spacing w:val="-3"/>
              </w:rPr>
              <w:t>有修改操作引入幂等键与操作审计，保证重复请求不产生副作用；对列表查询采用只读副</w:t>
            </w:r>
          </w:p>
        </w:tc>
      </w:tr>
    </w:tbl>
    <w:p w14:paraId="7FF64A4B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9471"/>
      </w:tblGrid>
      <w:tr w14:paraId="271984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95" w:type="dxa"/>
            <w:tcBorders>
              <w:bottom w:val="nil"/>
            </w:tcBorders>
            <w:vAlign w:val="top"/>
          </w:tcPr>
          <w:p w14:paraId="544ED7B9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bottom w:val="nil"/>
            </w:tcBorders>
            <w:vAlign w:val="top"/>
          </w:tcPr>
          <w:p w14:paraId="6A9C0644">
            <w:pPr>
              <w:pStyle w:val="6"/>
              <w:spacing w:before="41" w:line="219" w:lineRule="auto"/>
              <w:ind w:left="115"/>
            </w:pPr>
            <w:r>
              <w:rPr>
                <w:spacing w:val="-1"/>
              </w:rPr>
              <w:t>本与二级缓存，并通过变更事件精准失效，兼顾一致性与性能。</w:t>
            </w:r>
          </w:p>
        </w:tc>
      </w:tr>
      <w:tr w14:paraId="3DB8D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0" w:hRule="atLeast"/>
        </w:trPr>
        <w:tc>
          <w:tcPr>
            <w:tcW w:w="495" w:type="dxa"/>
            <w:tcBorders>
              <w:top w:val="nil"/>
              <w:bottom w:val="nil"/>
            </w:tcBorders>
            <w:vAlign w:val="top"/>
          </w:tcPr>
          <w:p w14:paraId="1FCC00F9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top w:val="nil"/>
              <w:bottom w:val="nil"/>
            </w:tcBorders>
            <w:vAlign w:val="top"/>
          </w:tcPr>
          <w:p w14:paraId="3A718B8C">
            <w:pPr>
              <w:spacing w:line="246" w:lineRule="auto"/>
              <w:rPr>
                <w:rFonts w:ascii="Arial"/>
                <w:sz w:val="21"/>
              </w:rPr>
            </w:pPr>
          </w:p>
          <w:p w14:paraId="48F13B8E">
            <w:pPr>
              <w:spacing w:line="246" w:lineRule="auto"/>
              <w:rPr>
                <w:rFonts w:hint="eastAsia" w:ascii="Arial" w:eastAsia="宋体"/>
                <w:sz w:val="21"/>
                <w:lang w:eastAsia="zh-CN"/>
              </w:rPr>
            </w:pPr>
            <w:r>
              <w:drawing>
                <wp:inline distT="0" distB="0" distL="114300" distR="114300">
                  <wp:extent cx="6002655" cy="3403600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655" cy="34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FEA31">
            <w:pPr>
              <w:pStyle w:val="6"/>
              <w:spacing w:before="78" w:line="220" w:lineRule="auto"/>
            </w:pPr>
            <w:r>
              <w:rPr>
                <w:spacing w:val="-4"/>
              </w:rPr>
              <w:t>订单详情</w:t>
            </w:r>
          </w:p>
          <w:p w14:paraId="5AE8695E">
            <w:pPr>
              <w:pStyle w:val="6"/>
              <w:spacing w:before="26" w:line="203" w:lineRule="auto"/>
              <w:ind w:left="115"/>
            </w:pPr>
            <w:r>
              <w:rPr>
                <w:spacing w:val="-3"/>
              </w:rPr>
              <w:t>面向运营与客服的深度查询接口，返回订单基础信息、乘客信息、费用明细、状态变更记</w:t>
            </w:r>
          </w:p>
        </w:tc>
      </w:tr>
      <w:tr w14:paraId="607562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7" w:hRule="atLeast"/>
        </w:trPr>
        <w:tc>
          <w:tcPr>
            <w:tcW w:w="495" w:type="dxa"/>
            <w:tcBorders>
              <w:top w:val="nil"/>
              <w:bottom w:val="nil"/>
            </w:tcBorders>
            <w:vAlign w:val="top"/>
          </w:tcPr>
          <w:p w14:paraId="35ADF020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top w:val="nil"/>
              <w:bottom w:val="nil"/>
            </w:tcBorders>
            <w:vAlign w:val="top"/>
          </w:tcPr>
          <w:p w14:paraId="0396E7BE">
            <w:pPr>
              <w:pStyle w:val="6"/>
              <w:spacing w:before="36"/>
              <w:ind w:left="113" w:right="26" w:firstLine="1"/>
              <w:jc w:val="both"/>
            </w:pPr>
            <w:r>
              <w:rPr>
                <w:spacing w:val="-1"/>
              </w:rPr>
              <w:t>录、司机接单与到达时间点、风控标记与异常码。详情查询走缓存优先与读库回源策略，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关键字段对齐计费侧口径，状态变更记录来自审计表，支持按订单号精确检索与权限隔离。</w:t>
            </w:r>
            <w:r>
              <w:rPr>
                <w:spacing w:val="5"/>
              </w:rPr>
              <w:t xml:space="preserve"> </w:t>
            </w:r>
            <w:r>
              <w:t>对慢查询路径提供 explain 审核与索引守护脚本，确保在表</w:t>
            </w:r>
            <w:r>
              <w:rPr>
                <w:spacing w:val="-1"/>
              </w:rPr>
              <w:t>膨胀后仍可稳定输出。</w:t>
            </w:r>
          </w:p>
        </w:tc>
      </w:tr>
      <w:tr w14:paraId="03484B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1" w:hRule="atLeast"/>
        </w:trPr>
        <w:tc>
          <w:tcPr>
            <w:tcW w:w="495" w:type="dxa"/>
            <w:tcBorders>
              <w:top w:val="nil"/>
              <w:bottom w:val="nil"/>
            </w:tcBorders>
            <w:vAlign w:val="top"/>
          </w:tcPr>
          <w:p w14:paraId="427C0CD0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top w:val="nil"/>
              <w:bottom w:val="nil"/>
            </w:tcBorders>
            <w:vAlign w:val="top"/>
          </w:tcPr>
          <w:p w14:paraId="0E1F5FFC">
            <w:pPr>
              <w:spacing w:before="3" w:line="5078" w:lineRule="exact"/>
            </w:pPr>
            <w:r>
              <w:drawing>
                <wp:inline distT="0" distB="0" distL="114300" distR="114300">
                  <wp:extent cx="4587875" cy="2477135"/>
                  <wp:effectExtent l="0" t="0" r="952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75" cy="247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2C45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 w:hRule="atLeast"/>
        </w:trPr>
        <w:tc>
          <w:tcPr>
            <w:tcW w:w="495" w:type="dxa"/>
            <w:tcBorders>
              <w:top w:val="nil"/>
            </w:tcBorders>
            <w:vAlign w:val="top"/>
          </w:tcPr>
          <w:p w14:paraId="7DF2A1C7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top w:val="nil"/>
            </w:tcBorders>
            <w:vAlign w:val="top"/>
          </w:tcPr>
          <w:p w14:paraId="2831DB89">
            <w:pPr>
              <w:pStyle w:val="6"/>
              <w:spacing w:before="159" w:line="220" w:lineRule="auto"/>
              <w:ind w:left="117"/>
            </w:pPr>
            <w:r>
              <w:rPr>
                <w:spacing w:val="-4"/>
              </w:rPr>
              <w:t>订单跟踪</w:t>
            </w:r>
          </w:p>
          <w:p w14:paraId="4BA4C6FC">
            <w:pPr>
              <w:pStyle w:val="6"/>
              <w:spacing w:before="25" w:line="223" w:lineRule="auto"/>
              <w:ind w:left="114" w:right="106"/>
            </w:pPr>
            <w:r>
              <w:t>支持司机位置上报与订单进展实时可视化，服务端通过 WebSock</w:t>
            </w:r>
            <w:r>
              <w:rPr>
                <w:spacing w:val="-1"/>
              </w:rPr>
              <w:t>et 将状态更新与定位增</w:t>
            </w:r>
            <w:r>
              <w:t xml:space="preserve"> </w:t>
            </w:r>
            <w:r>
              <w:rPr>
                <w:spacing w:val="-3"/>
              </w:rPr>
              <w:t>量推送给订阅端，提供心跳保活、断线重连、消息补发与速率节流。轨迹数据采用热冷分</w:t>
            </w:r>
          </w:p>
        </w:tc>
      </w:tr>
    </w:tbl>
    <w:p w14:paraId="224E974F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9471"/>
      </w:tblGrid>
      <w:tr w14:paraId="63855B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495" w:type="dxa"/>
            <w:tcBorders>
              <w:bottom w:val="nil"/>
            </w:tcBorders>
            <w:vAlign w:val="top"/>
          </w:tcPr>
          <w:p w14:paraId="785F7A05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bottom w:val="nil"/>
            </w:tcBorders>
            <w:vAlign w:val="top"/>
          </w:tcPr>
          <w:p w14:paraId="1F771A25">
            <w:pPr>
              <w:pStyle w:val="6"/>
              <w:spacing w:before="43" w:line="236" w:lineRule="auto"/>
              <w:ind w:left="114" w:right="106"/>
              <w:jc w:val="both"/>
            </w:pPr>
            <w:r>
              <w:rPr>
                <w:spacing w:val="-3"/>
              </w:rPr>
              <w:t>层策略，进行窗口内增量缓存与周期性落库，回放查询支持按订单号与时间范围返回稀释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轨迹点与关键事件。对状态更新与轨迹上报建立监控指标与丢包告警，保障异常可快速定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位与恢复。</w:t>
            </w:r>
          </w:p>
        </w:tc>
      </w:tr>
      <w:tr w14:paraId="4C4F06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1" w:hRule="atLeast"/>
        </w:trPr>
        <w:tc>
          <w:tcPr>
            <w:tcW w:w="495" w:type="dxa"/>
            <w:tcBorders>
              <w:top w:val="nil"/>
              <w:bottom w:val="nil"/>
            </w:tcBorders>
            <w:vAlign w:val="top"/>
          </w:tcPr>
          <w:p w14:paraId="54645521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top w:val="nil"/>
              <w:bottom w:val="nil"/>
            </w:tcBorders>
            <w:vAlign w:val="top"/>
          </w:tcPr>
          <w:p w14:paraId="60E4F342">
            <w:pPr>
              <w:spacing w:line="248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6002655" cy="3311525"/>
                  <wp:effectExtent l="0" t="0" r="4445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655" cy="331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C1387">
            <w:pPr>
              <w:spacing w:line="248" w:lineRule="auto"/>
              <w:rPr>
                <w:rFonts w:ascii="Arial"/>
                <w:sz w:val="21"/>
              </w:rPr>
            </w:pPr>
          </w:p>
          <w:p w14:paraId="71ADAC11">
            <w:pPr>
              <w:pStyle w:val="6"/>
              <w:spacing w:before="78" w:line="202" w:lineRule="auto"/>
              <w:ind w:left="116"/>
            </w:pPr>
            <w:r>
              <w:rPr>
                <w:spacing w:val="-3"/>
              </w:rPr>
              <w:t>派单设置</w:t>
            </w:r>
          </w:p>
        </w:tc>
      </w:tr>
      <w:tr w14:paraId="204CBC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4" w:hRule="atLeast"/>
        </w:trPr>
        <w:tc>
          <w:tcPr>
            <w:tcW w:w="495" w:type="dxa"/>
            <w:tcBorders>
              <w:top w:val="nil"/>
              <w:bottom w:val="nil"/>
            </w:tcBorders>
            <w:vAlign w:val="top"/>
          </w:tcPr>
          <w:p w14:paraId="78AAEF73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top w:val="nil"/>
              <w:bottom w:val="nil"/>
            </w:tcBorders>
            <w:vAlign w:val="top"/>
          </w:tcPr>
          <w:p w14:paraId="1EB5EC71">
            <w:pPr>
              <w:pStyle w:val="6"/>
              <w:spacing w:before="38"/>
              <w:ind w:left="124" w:right="106" w:hanging="9"/>
            </w:pPr>
            <w:r>
              <w:rPr>
                <w:spacing w:val="-3"/>
              </w:rPr>
              <w:t>提供后台管理能力，可配置派单策略与参数，支持就近优先、评分优先及权重组合；对策</w:t>
            </w:r>
            <w:r>
              <w:t xml:space="preserve"> </w:t>
            </w:r>
            <w:r>
              <w:rPr>
                <w:spacing w:val="-1"/>
              </w:rPr>
              <w:t>略变更记录版本与审计历史，灰度到指定城市或司机分组，并可一键回滚。</w:t>
            </w:r>
          </w:p>
          <w:p w14:paraId="543A13D8">
            <w:pPr>
              <w:pStyle w:val="6"/>
              <w:spacing w:line="219" w:lineRule="auto"/>
              <w:ind w:left="116"/>
            </w:pPr>
            <w:r>
              <w:rPr>
                <w:spacing w:val="-1"/>
              </w:rPr>
              <w:t>派单规则落地为可计算模型：</w:t>
            </w:r>
          </w:p>
          <w:p w14:paraId="795D07DA">
            <w:pPr>
              <w:pStyle w:val="6"/>
              <w:spacing w:before="26" w:line="219" w:lineRule="auto"/>
              <w:ind w:left="115"/>
            </w:pPr>
            <w:r>
              <w:rPr>
                <w:spacing w:val="-1"/>
              </w:rPr>
              <w:t>a 依据乘客用车时间距离当前时间的先后排序优先分配；</w:t>
            </w:r>
          </w:p>
          <w:p w14:paraId="4AB3454D">
            <w:pPr>
              <w:pStyle w:val="6"/>
              <w:spacing w:before="27" w:line="219" w:lineRule="auto"/>
              <w:ind w:left="110"/>
            </w:pPr>
            <w:r>
              <w:rPr>
                <w:spacing w:val="-1"/>
              </w:rPr>
              <w:t>b 校验司机在用车时间前后无订单冲突且可服务；</w:t>
            </w:r>
          </w:p>
          <w:p w14:paraId="1857A110">
            <w:pPr>
              <w:pStyle w:val="6"/>
              <w:spacing w:before="28" w:line="219" w:lineRule="auto"/>
              <w:ind w:left="118"/>
            </w:pPr>
            <w:r>
              <w:rPr>
                <w:spacing w:val="-1"/>
              </w:rPr>
              <w:t>c 根据白天时间段七时至二十二时与夜间段应用不同权重与超时策略；</w:t>
            </w:r>
          </w:p>
          <w:p w14:paraId="34444BD3">
            <w:pPr>
              <w:pStyle w:val="6"/>
              <w:spacing w:before="27" w:line="233" w:lineRule="auto"/>
              <w:ind w:left="113" w:right="106" w:firstLine="5"/>
            </w:pPr>
            <w:r>
              <w:rPr>
                <w:spacing w:val="-3"/>
              </w:rPr>
              <w:t>d 候选司机池由后台配置并可按城市、车队、热区、分组等维度动态调整。派单引擎从候</w:t>
            </w:r>
            <w:r>
              <w:t xml:space="preserve"> 选池取司机，结合 GEO 距离、司机评分、时间窗罚分与历史接单</w:t>
            </w:r>
            <w:r>
              <w:rPr>
                <w:spacing w:val="-1"/>
              </w:rPr>
              <w:t>率计算综合得分，选出</w:t>
            </w:r>
            <w:r>
              <w:t xml:space="preserve"> </w:t>
            </w:r>
            <w:r>
              <w:rPr>
                <w:spacing w:val="-1"/>
              </w:rPr>
              <w:t>最优并输出可解释的决策理由。</w:t>
            </w:r>
          </w:p>
        </w:tc>
      </w:tr>
      <w:tr w14:paraId="188A01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4" w:hRule="atLeast"/>
        </w:trPr>
        <w:tc>
          <w:tcPr>
            <w:tcW w:w="495" w:type="dxa"/>
            <w:tcBorders>
              <w:top w:val="nil"/>
            </w:tcBorders>
            <w:vAlign w:val="top"/>
          </w:tcPr>
          <w:p w14:paraId="158507B2">
            <w:pPr>
              <w:rPr>
                <w:rFonts w:ascii="Arial"/>
                <w:sz w:val="21"/>
              </w:rPr>
            </w:pPr>
          </w:p>
        </w:tc>
        <w:tc>
          <w:tcPr>
            <w:tcW w:w="9471" w:type="dxa"/>
            <w:tcBorders>
              <w:top w:val="nil"/>
            </w:tcBorders>
            <w:vAlign w:val="top"/>
          </w:tcPr>
          <w:p w14:paraId="0AA7406C">
            <w:pPr>
              <w:pStyle w:val="6"/>
              <w:spacing w:before="27" w:line="233" w:lineRule="auto"/>
              <w:ind w:left="113" w:right="106" w:firstLine="5"/>
              <w:rPr>
                <w:spacing w:val="-3"/>
              </w:rPr>
            </w:pPr>
            <w:r>
              <w:drawing>
                <wp:inline distT="0" distB="0" distL="114300" distR="114300">
                  <wp:extent cx="4895215" cy="10175875"/>
                  <wp:effectExtent l="0" t="0" r="6985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215" cy="1017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22894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6590"/>
        <w:gridCol w:w="2881"/>
      </w:tblGrid>
      <w:tr w14:paraId="3A3242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9" w:hRule="atLeast"/>
        </w:trPr>
        <w:tc>
          <w:tcPr>
            <w:tcW w:w="495" w:type="dxa"/>
            <w:textDirection w:val="tbRlV"/>
            <w:vAlign w:val="top"/>
          </w:tcPr>
          <w:p w14:paraId="4B55948A">
            <w:pPr>
              <w:pStyle w:val="6"/>
              <w:spacing w:before="101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任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务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优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先</w:t>
            </w:r>
            <w:r>
              <w:rPr>
                <w:spacing w:val="31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级</w:t>
            </w:r>
          </w:p>
        </w:tc>
        <w:tc>
          <w:tcPr>
            <w:tcW w:w="9471" w:type="dxa"/>
            <w:gridSpan w:val="2"/>
            <w:vAlign w:val="top"/>
          </w:tcPr>
          <w:p w14:paraId="361BBF4A">
            <w:pPr>
              <w:spacing w:line="262" w:lineRule="auto"/>
              <w:rPr>
                <w:rFonts w:ascii="Arial"/>
                <w:sz w:val="21"/>
              </w:rPr>
            </w:pPr>
          </w:p>
          <w:p w14:paraId="54A17C06">
            <w:pPr>
              <w:spacing w:line="262" w:lineRule="auto"/>
              <w:rPr>
                <w:rFonts w:ascii="Arial"/>
                <w:sz w:val="21"/>
              </w:rPr>
            </w:pPr>
          </w:p>
          <w:p w14:paraId="0645D152">
            <w:pPr>
              <w:spacing w:line="262" w:lineRule="auto"/>
              <w:rPr>
                <w:rFonts w:ascii="Arial"/>
                <w:sz w:val="21"/>
              </w:rPr>
            </w:pPr>
          </w:p>
          <w:p w14:paraId="1E7109B1">
            <w:pPr>
              <w:spacing w:line="262" w:lineRule="auto"/>
              <w:rPr>
                <w:rFonts w:ascii="Arial"/>
                <w:sz w:val="21"/>
              </w:rPr>
            </w:pPr>
          </w:p>
          <w:p w14:paraId="17584584">
            <w:pPr>
              <w:spacing w:line="262" w:lineRule="auto"/>
              <w:rPr>
                <w:rFonts w:ascii="Arial"/>
                <w:sz w:val="21"/>
              </w:rPr>
            </w:pPr>
          </w:p>
          <w:p w14:paraId="46003FA6">
            <w:pPr>
              <w:pStyle w:val="6"/>
              <w:spacing w:before="97" w:line="220" w:lineRule="auto"/>
              <w:ind w:left="14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中</w:t>
            </w:r>
          </w:p>
        </w:tc>
      </w:tr>
      <w:tr w14:paraId="6314B3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495" w:type="dxa"/>
            <w:textDirection w:val="tbRlV"/>
            <w:vAlign w:val="top"/>
          </w:tcPr>
          <w:p w14:paraId="662574ED">
            <w:pPr>
              <w:pStyle w:val="6"/>
              <w:spacing w:before="101" w:line="207" w:lineRule="auto"/>
              <w:ind w:left="17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工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时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预</w:t>
            </w:r>
            <w:r>
              <w:rPr>
                <w:spacing w:val="31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估</w:t>
            </w:r>
          </w:p>
        </w:tc>
        <w:tc>
          <w:tcPr>
            <w:tcW w:w="9471" w:type="dxa"/>
            <w:gridSpan w:val="2"/>
            <w:vAlign w:val="top"/>
          </w:tcPr>
          <w:p w14:paraId="077C71D6">
            <w:pPr>
              <w:pStyle w:val="6"/>
              <w:spacing w:before="172" w:line="223" w:lineRule="auto"/>
              <w:ind w:left="114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4</w:t>
            </w:r>
            <w:r>
              <w:rPr>
                <w:spacing w:val="-59"/>
                <w:sz w:val="28"/>
                <w:szCs w:val="28"/>
              </w:rPr>
              <w:t xml:space="preserve"> </w:t>
            </w:r>
            <w:r>
              <w:rPr>
                <w:spacing w:val="-7"/>
                <w:sz w:val="28"/>
                <w:szCs w:val="28"/>
              </w:rPr>
              <w:t>人日</w:t>
            </w:r>
          </w:p>
        </w:tc>
      </w:tr>
      <w:tr w14:paraId="7BB65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5" w:hRule="atLeast"/>
        </w:trPr>
        <w:tc>
          <w:tcPr>
            <w:tcW w:w="495" w:type="dxa"/>
            <w:textDirection w:val="tbRlV"/>
            <w:vAlign w:val="top"/>
          </w:tcPr>
          <w:p w14:paraId="4CD4EF6D">
            <w:pPr>
              <w:pStyle w:val="6"/>
              <w:spacing w:before="101" w:line="208" w:lineRule="auto"/>
              <w:ind w:left="13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产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出</w:t>
            </w:r>
            <w:r>
              <w:rPr>
                <w:spacing w:val="31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物</w:t>
            </w:r>
          </w:p>
        </w:tc>
        <w:tc>
          <w:tcPr>
            <w:tcW w:w="6590" w:type="dxa"/>
            <w:tcBorders>
              <w:right w:val="nil"/>
            </w:tcBorders>
            <w:vAlign w:val="top"/>
          </w:tcPr>
          <w:p w14:paraId="103AC93D">
            <w:pPr>
              <w:pStyle w:val="6"/>
              <w:spacing w:before="116" w:line="219" w:lineRule="auto"/>
              <w:ind w:left="134"/>
            </w:pPr>
            <w:r>
              <w:rPr>
                <w:spacing w:val="-3"/>
              </w:rPr>
              <w:t>• ER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</w:p>
          <w:p w14:paraId="23FBC9FA">
            <w:pPr>
              <w:pStyle w:val="6"/>
              <w:spacing w:before="183" w:line="219" w:lineRule="auto"/>
              <w:ind w:left="134"/>
            </w:pPr>
            <w:r>
              <w:rPr>
                <w:spacing w:val="-4"/>
              </w:rPr>
              <w:t>• 《设计说明书》</w:t>
            </w:r>
          </w:p>
          <w:p w14:paraId="3C8BAB08">
            <w:pPr>
              <w:pStyle w:val="6"/>
              <w:spacing w:before="183" w:line="218" w:lineRule="auto"/>
              <w:ind w:left="134"/>
            </w:pPr>
            <w:r>
              <w:rPr>
                <w:spacing w:val="-2"/>
              </w:rPr>
              <w:t>• 接口要有压力测试，并能进行压力测试报告解读</w:t>
            </w:r>
          </w:p>
          <w:p w14:paraId="4ED693A8">
            <w:pPr>
              <w:pStyle w:val="6"/>
              <w:spacing w:before="185" w:line="214" w:lineRule="auto"/>
              <w:ind w:left="134"/>
            </w:pPr>
            <w:r>
              <w:rPr>
                <w:spacing w:val="-1"/>
              </w:rPr>
              <w:t>• 可运行的后端服务代码与 Docker Compose 本地环境</w:t>
            </w:r>
          </w:p>
          <w:p w14:paraId="2A16B2F4">
            <w:pPr>
              <w:pStyle w:val="6"/>
              <w:spacing w:before="188" w:line="219" w:lineRule="auto"/>
              <w:ind w:left="134"/>
            </w:pPr>
            <w:r>
              <w:rPr>
                <w:spacing w:val="-2"/>
              </w:rPr>
              <w:t>• 订单域设计文档与状态机图、派单引擎设计说明</w:t>
            </w:r>
          </w:p>
          <w:p w14:paraId="6AC02BF9">
            <w:pPr>
              <w:pStyle w:val="6"/>
              <w:spacing w:before="184" w:line="219" w:lineRule="auto"/>
              <w:ind w:left="134"/>
            </w:pPr>
            <w:r>
              <w:rPr>
                <w:spacing w:val="-2"/>
              </w:rPr>
              <w:t>• 数据库建表脚本与索引策略、缓存键设计与失效策略</w:t>
            </w:r>
          </w:p>
          <w:p w14:paraId="734FFA41">
            <w:pPr>
              <w:pStyle w:val="6"/>
              <w:spacing w:before="184" w:line="219" w:lineRule="auto"/>
              <w:ind w:left="134"/>
            </w:pPr>
            <w:r>
              <w:rPr>
                <w:spacing w:val="-2"/>
              </w:rPr>
              <w:t>• 接口文档与示例请求响应、错误码清单</w:t>
            </w:r>
          </w:p>
          <w:p w14:paraId="4132690C">
            <w:pPr>
              <w:pStyle w:val="6"/>
              <w:spacing w:before="182" w:line="219" w:lineRule="auto"/>
              <w:ind w:left="134"/>
            </w:pPr>
            <w:r>
              <w:rPr>
                <w:spacing w:val="-3"/>
              </w:rPr>
              <w:t>• 监控指标面板与报警规则</w:t>
            </w:r>
          </w:p>
          <w:p w14:paraId="36D5C905">
            <w:pPr>
              <w:pStyle w:val="6"/>
              <w:spacing w:before="184" w:line="218" w:lineRule="auto"/>
              <w:ind w:left="134"/>
            </w:pPr>
            <w:r>
              <w:rPr>
                <w:spacing w:val="-2"/>
              </w:rPr>
              <w:t>• 单元测试与集成测试用例、压测报告与优化记录</w:t>
            </w:r>
          </w:p>
        </w:tc>
        <w:tc>
          <w:tcPr>
            <w:tcW w:w="2881" w:type="dxa"/>
            <w:tcBorders>
              <w:left w:val="nil"/>
            </w:tcBorders>
            <w:vAlign w:val="top"/>
          </w:tcPr>
          <w:p w14:paraId="0461AA57">
            <w:pPr>
              <w:spacing w:line="257" w:lineRule="auto"/>
              <w:rPr>
                <w:rFonts w:ascii="Arial"/>
                <w:sz w:val="21"/>
              </w:rPr>
            </w:pPr>
          </w:p>
          <w:p w14:paraId="21BBA59E">
            <w:pPr>
              <w:spacing w:line="258" w:lineRule="auto"/>
              <w:rPr>
                <w:rFonts w:ascii="Arial"/>
                <w:sz w:val="21"/>
              </w:rPr>
            </w:pPr>
          </w:p>
          <w:p w14:paraId="7B14E635">
            <w:pPr>
              <w:spacing w:line="258" w:lineRule="auto"/>
              <w:rPr>
                <w:rFonts w:ascii="Arial"/>
                <w:sz w:val="21"/>
              </w:rPr>
            </w:pPr>
          </w:p>
          <w:p w14:paraId="5C71D043">
            <w:pPr>
              <w:spacing w:line="258" w:lineRule="auto"/>
              <w:rPr>
                <w:rFonts w:ascii="Arial"/>
                <w:sz w:val="21"/>
              </w:rPr>
            </w:pPr>
          </w:p>
          <w:p w14:paraId="055ACA0E">
            <w:pPr>
              <w:spacing w:line="258" w:lineRule="auto"/>
              <w:rPr>
                <w:rFonts w:ascii="Arial"/>
                <w:sz w:val="21"/>
              </w:rPr>
            </w:pPr>
          </w:p>
          <w:p w14:paraId="48A4343E">
            <w:pPr>
              <w:spacing w:line="258" w:lineRule="auto"/>
              <w:rPr>
                <w:rFonts w:ascii="Arial"/>
                <w:sz w:val="21"/>
              </w:rPr>
            </w:pPr>
          </w:p>
          <w:p w14:paraId="233EAC99">
            <w:pPr>
              <w:spacing w:line="258" w:lineRule="auto"/>
              <w:rPr>
                <w:rFonts w:ascii="Arial"/>
                <w:sz w:val="21"/>
              </w:rPr>
            </w:pPr>
          </w:p>
          <w:p w14:paraId="4E1BD7CC">
            <w:pPr>
              <w:spacing w:line="258" w:lineRule="auto"/>
              <w:rPr>
                <w:rFonts w:ascii="Arial"/>
                <w:sz w:val="21"/>
              </w:rPr>
            </w:pPr>
          </w:p>
          <w:p w14:paraId="78C3D3CA">
            <w:pPr>
              <w:spacing w:line="1763" w:lineRule="exact"/>
              <w:ind w:firstLine="725"/>
            </w:pPr>
          </w:p>
        </w:tc>
      </w:tr>
      <w:tr w14:paraId="3801F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0" w:hRule="atLeast"/>
        </w:trPr>
        <w:tc>
          <w:tcPr>
            <w:tcW w:w="495" w:type="dxa"/>
            <w:textDirection w:val="tbRlV"/>
            <w:vAlign w:val="top"/>
          </w:tcPr>
          <w:p w14:paraId="757C5471">
            <w:pPr>
              <w:pStyle w:val="6"/>
              <w:spacing w:before="101" w:line="209" w:lineRule="auto"/>
              <w:ind w:left="7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验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收</w:t>
            </w:r>
            <w:r>
              <w:rPr>
                <w:spacing w:val="32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标</w:t>
            </w:r>
            <w:r>
              <w:rPr>
                <w:spacing w:val="31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准</w:t>
            </w:r>
          </w:p>
        </w:tc>
        <w:tc>
          <w:tcPr>
            <w:tcW w:w="9471" w:type="dxa"/>
            <w:gridSpan w:val="2"/>
            <w:vAlign w:val="top"/>
          </w:tcPr>
          <w:p w14:paraId="40DD46D0">
            <w:pPr>
              <w:pStyle w:val="6"/>
              <w:spacing w:before="118" w:line="221" w:lineRule="auto"/>
              <w:ind w:left="118"/>
            </w:pPr>
            <w:r>
              <w:rPr>
                <w:spacing w:val="-7"/>
              </w:rPr>
              <w:t>功能</w:t>
            </w:r>
          </w:p>
          <w:p w14:paraId="56087B8D">
            <w:pPr>
              <w:pStyle w:val="6"/>
              <w:spacing w:before="181" w:line="219" w:lineRule="auto"/>
              <w:ind w:left="134"/>
            </w:pPr>
            <w:r>
              <w:rPr>
                <w:spacing w:val="-1"/>
              </w:rPr>
              <w:t>• 列表查询支持给定筛选与排序维度，取消与改派接口具备幂等与审计</w:t>
            </w:r>
          </w:p>
          <w:p w14:paraId="544964FF">
            <w:pPr>
              <w:pStyle w:val="6"/>
              <w:spacing w:before="183" w:line="219" w:lineRule="auto"/>
              <w:ind w:left="134"/>
            </w:pPr>
            <w:r>
              <w:rPr>
                <w:spacing w:val="-1"/>
              </w:rPr>
              <w:t>• 详情接口返回要求的基础信息、乘客信息、费用明细与状态变更记录</w:t>
            </w:r>
          </w:p>
          <w:p w14:paraId="1737F95B">
            <w:pPr>
              <w:pStyle w:val="6"/>
              <w:spacing w:before="183" w:line="219" w:lineRule="auto"/>
              <w:ind w:left="134"/>
            </w:pPr>
            <w:r>
              <w:rPr>
                <w:spacing w:val="-1"/>
              </w:rPr>
              <w:t>• 跟踪模块可实时推送状态与位置，支持轨迹回放与</w:t>
            </w:r>
            <w:r>
              <w:rPr>
                <w:spacing w:val="-2"/>
              </w:rPr>
              <w:t>断线补发</w:t>
            </w:r>
          </w:p>
          <w:p w14:paraId="14493548">
            <w:pPr>
              <w:pStyle w:val="6"/>
              <w:spacing w:before="183" w:line="290" w:lineRule="auto"/>
              <w:ind w:left="117" w:right="2041" w:firstLine="17"/>
            </w:pPr>
            <w:r>
              <w:rPr>
                <w:spacing w:val="-1"/>
              </w:rPr>
              <w:t>• 派单设置可在线调整并即时生效，规则 a b c d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全量</w:t>
            </w:r>
            <w:r>
              <w:rPr>
                <w:spacing w:val="-2"/>
              </w:rPr>
              <w:t>落地且可灰度</w:t>
            </w:r>
            <w:r>
              <w:t xml:space="preserve"> </w:t>
            </w:r>
            <w:r>
              <w:rPr>
                <w:spacing w:val="-7"/>
              </w:rPr>
              <w:t>性能</w:t>
            </w:r>
          </w:p>
          <w:p w14:paraId="446B40A7">
            <w:pPr>
              <w:pStyle w:val="6"/>
              <w:spacing w:before="181" w:line="219" w:lineRule="auto"/>
              <w:ind w:left="134"/>
            </w:pPr>
            <w:r>
              <w:rPr>
                <w:spacing w:val="-1"/>
              </w:rPr>
              <w:t>• 指标满足监控目标，压测下无明显抖动，缓存命中率达七成以上</w:t>
            </w:r>
          </w:p>
          <w:p w14:paraId="12EAA1DC">
            <w:pPr>
              <w:pStyle w:val="6"/>
              <w:spacing w:before="184" w:line="219" w:lineRule="auto"/>
              <w:ind w:left="134"/>
            </w:pPr>
            <w:r>
              <w:rPr>
                <w:spacing w:val="-2"/>
              </w:rPr>
              <w:t>• 派单引擎并发下无重复分配与竞态，决策耗时达标</w:t>
            </w:r>
          </w:p>
        </w:tc>
      </w:tr>
    </w:tbl>
    <w:p w14:paraId="30ED9CBC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6710"/>
        <w:gridCol w:w="2761"/>
      </w:tblGrid>
      <w:tr w14:paraId="40F5D5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6" w:hRule="atLeast"/>
        </w:trPr>
        <w:tc>
          <w:tcPr>
            <w:tcW w:w="495" w:type="dxa"/>
            <w:vAlign w:val="top"/>
          </w:tcPr>
          <w:p w14:paraId="7D2626A4">
            <w:pPr>
              <w:rPr>
                <w:rFonts w:ascii="Arial"/>
                <w:sz w:val="21"/>
              </w:rPr>
            </w:pPr>
          </w:p>
        </w:tc>
        <w:tc>
          <w:tcPr>
            <w:tcW w:w="6710" w:type="dxa"/>
            <w:tcBorders>
              <w:right w:val="nil"/>
            </w:tcBorders>
            <w:vAlign w:val="top"/>
          </w:tcPr>
          <w:p w14:paraId="6A2699F5">
            <w:pPr>
              <w:pStyle w:val="6"/>
              <w:spacing w:before="118" w:line="221" w:lineRule="auto"/>
              <w:ind w:left="118"/>
            </w:pPr>
            <w:r>
              <w:rPr>
                <w:spacing w:val="-8"/>
              </w:rPr>
              <w:t>安全</w:t>
            </w:r>
          </w:p>
          <w:p w14:paraId="4BE03807">
            <w:pPr>
              <w:pStyle w:val="6"/>
              <w:spacing w:before="181" w:line="219" w:lineRule="auto"/>
              <w:ind w:left="134"/>
            </w:pPr>
            <w:r>
              <w:rPr>
                <w:spacing w:val="-1"/>
              </w:rPr>
              <w:t>• 所有改写操作需鉴权与参数校验，审计日</w:t>
            </w:r>
            <w:r>
              <w:rPr>
                <w:spacing w:val="-2"/>
              </w:rPr>
              <w:t>志完整可追溯</w:t>
            </w:r>
          </w:p>
          <w:p w14:paraId="675327EB">
            <w:pPr>
              <w:pStyle w:val="6"/>
              <w:spacing w:before="181" w:line="290" w:lineRule="auto"/>
              <w:ind w:left="113" w:right="1802" w:firstLine="21"/>
            </w:pPr>
            <w:r>
              <w:rPr>
                <w:spacing w:val="-1"/>
              </w:rPr>
              <w:t>• 敏感数据脱敏，WebSocket 鉴</w:t>
            </w:r>
            <w:r>
              <w:rPr>
                <w:spacing w:val="-2"/>
              </w:rPr>
              <w:t>权与限流生效</w:t>
            </w:r>
            <w:r>
              <w:t xml:space="preserve"> </w:t>
            </w:r>
            <w:r>
              <w:rPr>
                <w:spacing w:val="-3"/>
              </w:rPr>
              <w:t>代码质量</w:t>
            </w:r>
          </w:p>
          <w:p w14:paraId="5852BF5E">
            <w:pPr>
              <w:pStyle w:val="6"/>
              <w:spacing w:before="183" w:line="219" w:lineRule="auto"/>
              <w:ind w:left="134"/>
            </w:pPr>
            <w:r>
              <w:rPr>
                <w:spacing w:val="-2"/>
              </w:rPr>
              <w:t>• 单测覆盖核心服务与策略模块，竞态检测通过</w:t>
            </w:r>
          </w:p>
          <w:p w14:paraId="5E2718B8">
            <w:pPr>
              <w:pStyle w:val="6"/>
              <w:spacing w:before="183" w:line="220" w:lineRule="auto"/>
              <w:ind w:left="134"/>
            </w:pPr>
            <w:r>
              <w:rPr>
                <w:spacing w:val="-3"/>
              </w:rPr>
              <w:t>•</w:t>
            </w:r>
            <w:r>
              <w:rPr>
                <w:spacing w:val="57"/>
              </w:rPr>
              <w:t xml:space="preserve"> </w:t>
            </w:r>
            <w:r>
              <w:rPr>
                <w:spacing w:val="-3"/>
              </w:rPr>
              <w:t>目录结构清晰、接口命名统一、错误码与日志规范统一</w:t>
            </w:r>
          </w:p>
          <w:p w14:paraId="79BB54FA">
            <w:pPr>
              <w:pStyle w:val="6"/>
              <w:spacing w:before="182" w:line="219" w:lineRule="auto"/>
              <w:ind w:left="134"/>
            </w:pPr>
            <w:r>
              <w:rPr>
                <w:spacing w:val="-2"/>
              </w:rPr>
              <w:t>• 配置可热更并具备灰度与回滚文档</w:t>
            </w:r>
          </w:p>
        </w:tc>
        <w:tc>
          <w:tcPr>
            <w:tcW w:w="2761" w:type="dxa"/>
            <w:tcBorders>
              <w:left w:val="nil"/>
            </w:tcBorders>
            <w:vAlign w:val="top"/>
          </w:tcPr>
          <w:p w14:paraId="53AED3FF">
            <w:pPr>
              <w:spacing w:line="266" w:lineRule="auto"/>
              <w:rPr>
                <w:rFonts w:ascii="Arial"/>
                <w:sz w:val="21"/>
              </w:rPr>
            </w:pPr>
          </w:p>
          <w:p w14:paraId="362F0B49">
            <w:pPr>
              <w:spacing w:line="266" w:lineRule="auto"/>
              <w:rPr>
                <w:rFonts w:ascii="Arial"/>
                <w:sz w:val="21"/>
              </w:rPr>
            </w:pPr>
          </w:p>
          <w:p w14:paraId="724616D9">
            <w:pPr>
              <w:spacing w:line="266" w:lineRule="auto"/>
              <w:rPr>
                <w:rFonts w:ascii="Arial"/>
                <w:sz w:val="21"/>
              </w:rPr>
            </w:pPr>
          </w:p>
          <w:p w14:paraId="2705AF81">
            <w:pPr>
              <w:spacing w:line="266" w:lineRule="auto"/>
              <w:rPr>
                <w:rFonts w:ascii="Arial"/>
                <w:sz w:val="21"/>
              </w:rPr>
            </w:pPr>
          </w:p>
          <w:p w14:paraId="6C7AF0A2">
            <w:pPr>
              <w:spacing w:line="266" w:lineRule="auto"/>
              <w:rPr>
                <w:rFonts w:ascii="Arial"/>
                <w:sz w:val="21"/>
              </w:rPr>
            </w:pPr>
          </w:p>
          <w:p w14:paraId="7EEB8D40">
            <w:pPr>
              <w:spacing w:line="266" w:lineRule="auto"/>
              <w:rPr>
                <w:rFonts w:ascii="Arial"/>
                <w:sz w:val="21"/>
              </w:rPr>
            </w:pPr>
          </w:p>
          <w:p w14:paraId="21AEDF44">
            <w:pPr>
              <w:spacing w:line="267" w:lineRule="auto"/>
              <w:rPr>
                <w:rFonts w:ascii="Arial"/>
                <w:sz w:val="21"/>
              </w:rPr>
            </w:pPr>
          </w:p>
          <w:p w14:paraId="6672A4FC">
            <w:pPr>
              <w:spacing w:line="1764" w:lineRule="exact"/>
              <w:ind w:firstLine="605"/>
            </w:pPr>
            <w:bookmarkStart w:id="0" w:name="_GoBack"/>
            <w:bookmarkEnd w:id="0"/>
          </w:p>
        </w:tc>
      </w:tr>
      <w:tr w14:paraId="36D5FC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495" w:type="dxa"/>
            <w:textDirection w:val="tbRlV"/>
            <w:vAlign w:val="top"/>
          </w:tcPr>
          <w:p w14:paraId="42EEE778">
            <w:pPr>
              <w:pStyle w:val="6"/>
              <w:spacing w:before="100" w:line="210" w:lineRule="auto"/>
              <w:ind w:left="1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备</w:t>
            </w:r>
            <w:r>
              <w:rPr>
                <w:spacing w:val="31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注</w:t>
            </w:r>
          </w:p>
        </w:tc>
        <w:tc>
          <w:tcPr>
            <w:tcW w:w="9471" w:type="dxa"/>
            <w:gridSpan w:val="2"/>
            <w:vAlign w:val="top"/>
          </w:tcPr>
          <w:p w14:paraId="1BDBFB4F">
            <w:pPr>
              <w:pStyle w:val="6"/>
              <w:spacing w:before="40" w:line="219" w:lineRule="auto"/>
              <w:ind w:left="113"/>
            </w:pPr>
            <w:r>
              <w:rPr>
                <w:spacing w:val="-1"/>
              </w:rPr>
              <w:t>代码注释中需要写明工单编号；</w:t>
            </w:r>
          </w:p>
        </w:tc>
      </w:tr>
    </w:tbl>
    <w:p w14:paraId="02E083FA">
      <w:pPr>
        <w:spacing w:before="60" w:line="280" w:lineRule="exact"/>
        <w:rPr>
          <w:rFonts w:ascii="等线" w:hAnsi="等线" w:eastAsia="等线" w:cs="等线"/>
          <w:sz w:val="18"/>
          <w:szCs w:val="18"/>
        </w:rPr>
      </w:pPr>
    </w:p>
    <w:sectPr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5AB7C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6060A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2122</Words>
  <Characters>2278</Characters>
  <TotalTime>0</TotalTime>
  <ScaleCrop>false</ScaleCrop>
  <LinksUpToDate>false</LinksUpToDate>
  <CharactersWithSpaces>3521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2025-09-10T02:25:58Z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2025-09-10T10:18:59Z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B41B6035CA9A4D57A49605E9ADCD6A97_12</vt:lpwstr>
  </property>
</Properties>
</file>