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</w:rPr>
      </w:pPr>
    </w:p>
    <w:p>
      <w:pPr>
        <w:ind w:firstLine="321" w:firstLineChars="10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班级：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>
        <w:rPr>
          <w:rFonts w:ascii="Times New Roman" w:hAnsi="Times New Roman" w:cs="Times New Roman"/>
          <w:b/>
          <w:sz w:val="32"/>
        </w:rPr>
        <w:t>学号：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>
        <w:rPr>
          <w:rFonts w:ascii="Times New Roman" w:hAnsi="Times New Roman" w:cs="Times New Roman"/>
          <w:b/>
          <w:sz w:val="32"/>
        </w:rPr>
        <w:t>姓名：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实验十</w:t>
      </w:r>
      <w:r>
        <w:rPr>
          <w:rFonts w:hint="eastAsia" w:ascii="Times New Roman" w:hAnsi="Times New Roman" w:cs="Times New Roman"/>
          <w:b/>
          <w:sz w:val="40"/>
        </w:rPr>
        <w:t>四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ascii="Times New Roman" w:hAnsi="Times New Roman" w:eastAsia="黑体" w:cs="Times New Roman"/>
          <w:color w:val="000000"/>
          <w:sz w:val="36"/>
        </w:rPr>
        <w:t>二阶</w:t>
      </w:r>
      <w:r>
        <w:rPr>
          <w:rFonts w:ascii="Times New Roman" w:hAnsi="Times New Roman" w:eastAsia="黑体" w:cs="Times New Roman"/>
          <w:i/>
          <w:color w:val="000000"/>
          <w:sz w:val="36"/>
        </w:rPr>
        <w:t>RC</w:t>
      </w:r>
      <w:r>
        <w:rPr>
          <w:rFonts w:ascii="Times New Roman" w:hAnsi="Times New Roman" w:eastAsia="黑体" w:cs="Times New Roman"/>
          <w:color w:val="000000"/>
          <w:sz w:val="36"/>
        </w:rPr>
        <w:t>网络频率特性的测试</w:t>
      </w:r>
    </w:p>
    <w:p>
      <w:pPr>
        <w:snapToGrid w:val="0"/>
        <w:spacing w:line="180" w:lineRule="auto"/>
        <w:jc w:val="center"/>
        <w:rPr>
          <w:rFonts w:ascii="Times New Roman" w:hAnsi="Times New Roman" w:eastAsia="华文楷体" w:cs="Times New Roman"/>
          <w:sz w:val="24"/>
          <w:u w:val="single"/>
        </w:rPr>
      </w:pPr>
      <w:r>
        <w:rPr>
          <w:rFonts w:ascii="Times New Roman" w:hAnsi="Times New Roman" w:eastAsia="华文行楷" w:cs="Times New Roman"/>
          <w:sz w:val="24"/>
        </w:rPr>
        <w:t xml:space="preserve"> </w:t>
      </w:r>
    </w:p>
    <w:p>
      <w:pPr>
        <w:snapToGrid w:val="0"/>
        <w:spacing w:line="180" w:lineRule="auto"/>
        <w:jc w:val="center"/>
        <w:rPr>
          <w:rFonts w:ascii="Times New Roman" w:hAnsi="Times New Roman" w:eastAsia="华文楷体" w:cs="Times New Roman"/>
          <w:color w:val="000000"/>
          <w:sz w:val="24"/>
          <w:u w:val="single"/>
        </w:rPr>
      </w:pPr>
      <w:r>
        <w:rPr>
          <w:rFonts w:ascii="Times New Roman" w:hAnsi="Times New Roman" w:eastAsia="华文行楷" w:cs="Times New Roman"/>
          <w:sz w:val="24"/>
        </w:rPr>
        <w:t>自习与思考</w:t>
      </w:r>
    </w:p>
    <w:p>
      <w:pPr>
        <w:numPr>
          <w:ilvl w:val="0"/>
          <w:numId w:val="1"/>
        </w:numPr>
        <w:suppressAutoHyphens/>
        <w:adjustRightInd w:val="0"/>
        <w:rPr>
          <w:rFonts w:ascii="Times New Roman" w:hAnsi="Times New Roman" w:eastAsia="华文楷体" w:cs="Times New Roman"/>
          <w:color w:val="000000"/>
          <w:szCs w:val="21"/>
        </w:rPr>
      </w:pPr>
      <w:r>
        <w:rPr>
          <w:rFonts w:ascii="Times New Roman" w:hAnsi="Times New Roman" w:eastAsia="华文楷体" w:cs="Times New Roman"/>
          <w:color w:val="000000"/>
          <w:szCs w:val="21"/>
        </w:rPr>
        <w:t xml:space="preserve"> 复习交流电路频率特性理论知识，自行推导实验电路的幅频、相频特性的表达式。</w:t>
      </w:r>
    </w:p>
    <w:p>
      <w:pPr>
        <w:suppressAutoHyphens/>
        <w:adjustRightInd w:val="0"/>
        <w:ind w:left="181"/>
        <w:rPr>
          <w:rFonts w:ascii="Times New Roman" w:hAnsi="Times New Roman" w:eastAsia="华文楷体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华文楷体" w:cs="Times New Roman"/>
          <w:color w:val="000000"/>
          <w:szCs w:val="21"/>
        </w:rPr>
        <w:t xml:space="preserve"> 根据电路参数，估算实验电路的谐振频率，试用</w:t>
      </w:r>
      <w:r>
        <w:rPr>
          <w:rFonts w:ascii="Times New Roman" w:hAnsi="Times New Roman" w:cs="Times New Roman"/>
          <w:color w:val="000000"/>
          <w:szCs w:val="21"/>
        </w:rPr>
        <w:t>Multisim</w:t>
      </w:r>
      <w:r>
        <w:rPr>
          <w:rFonts w:ascii="Times New Roman" w:hAnsi="Times New Roman" w:eastAsia="华文楷体" w:cs="Times New Roman"/>
          <w:color w:val="000000"/>
          <w:szCs w:val="21"/>
        </w:rPr>
        <w:t>电路仿真软件进行</w:t>
      </w:r>
      <w:r>
        <w:rPr>
          <w:rFonts w:ascii="Times New Roman" w:hAnsi="Times New Roman" w:eastAsia="华文楷体" w:cs="Times New Roman"/>
        </w:rPr>
        <w:t>交流频率分析</w:t>
      </w:r>
      <w:bookmarkStart w:id="0" w:name="4.4.2__交流频率分析（AC_Frequency）"/>
      <w:r>
        <w:rPr>
          <w:rFonts w:ascii="Times New Roman" w:hAnsi="Times New Roman" w:eastAsia="华文楷体" w:cs="Times New Roman"/>
        </w:rPr>
        <w:t>（AC Frequency）</w:t>
      </w:r>
      <w:bookmarkEnd w:id="0"/>
      <w:r>
        <w:rPr>
          <w:rFonts w:ascii="Times New Roman" w:hAnsi="Times New Roman" w:eastAsia="华文楷体" w:cs="Times New Roman"/>
        </w:rPr>
        <w:t>。</w:t>
      </w:r>
      <w:r>
        <w:rPr>
          <w:rFonts w:ascii="Times New Roman" w:hAnsi="Times New Roman" w:eastAsia="华文楷体" w:cs="Times New Roman"/>
          <w:color w:val="000000"/>
          <w:szCs w:val="21"/>
        </w:rPr>
        <w:t xml:space="preserve"> </w:t>
      </w:r>
    </w:p>
    <w:p>
      <w:pPr>
        <w:adjustRightInd w:val="0"/>
        <w:ind w:left="181"/>
        <w:rPr>
          <w:rFonts w:ascii="Times New Roman" w:hAnsi="Times New Roman" w:eastAsia="华文楷体" w:cs="Times New Roman"/>
          <w:color w:val="000000"/>
          <w:szCs w:val="21"/>
        </w:rPr>
      </w:pPr>
      <w:r>
        <w:rPr>
          <w:rFonts w:ascii="Times New Roman" w:hAnsi="Times New Roman" w:eastAsia="华文楷体" w:cs="Times New Roman"/>
          <w:szCs w:val="21"/>
        </w:rPr>
        <w:fldChar w:fldCharType="begin"/>
      </w:r>
      <w:r>
        <w:rPr>
          <w:rFonts w:ascii="Times New Roman" w:hAnsi="Times New Roman" w:eastAsia="华文楷体" w:cs="Times New Roman"/>
          <w:szCs w:val="21"/>
        </w:rPr>
        <w:instrText xml:space="preserve"> = 3 \* GB3 </w:instrText>
      </w:r>
      <w:r>
        <w:rPr>
          <w:rFonts w:ascii="Times New Roman" w:hAnsi="Times New Roman" w:eastAsia="华文楷体" w:cs="Times New Roman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华文楷体" w:cs="Times New Roman"/>
          <w:szCs w:val="21"/>
        </w:rPr>
        <w:fldChar w:fldCharType="end"/>
      </w:r>
      <w:r>
        <w:rPr>
          <w:rFonts w:ascii="Times New Roman" w:hAnsi="Times New Roman" w:eastAsia="华文楷体" w:cs="Times New Roman"/>
          <w:color w:val="000000"/>
          <w:szCs w:val="21"/>
        </w:rPr>
        <w:t xml:space="preserve"> 什么是</w:t>
      </w:r>
      <w:r>
        <w:rPr>
          <w:rFonts w:ascii="Times New Roman" w:hAnsi="Times New Roman" w:eastAsia="华文楷体" w:cs="Times New Roman"/>
          <w:i/>
          <w:color w:val="000000"/>
          <w:szCs w:val="21"/>
        </w:rPr>
        <w:t>RC</w:t>
      </w:r>
      <w:r>
        <w:rPr>
          <w:rFonts w:ascii="Times New Roman" w:hAnsi="Times New Roman" w:eastAsia="华文楷体" w:cs="Times New Roman"/>
          <w:color w:val="000000"/>
          <w:szCs w:val="21"/>
        </w:rPr>
        <w:t>串、并联电路的选频特性？当频率等于谐振频率时，电路的输出、输入有何关系？</w:t>
      </w:r>
    </w:p>
    <w:p>
      <w:pPr>
        <w:adjustRightInd w:val="0"/>
        <w:ind w:left="181" w:firstLine="418" w:firstLineChars="0"/>
        <w:rPr>
          <w:rFonts w:hint="eastAsia" w:ascii="楷体" w:hAnsi="楷体" w:eastAsia="楷体" w:cs="楷体"/>
          <w:color w:val="00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选频特性：输出电压与输入电压同相，且大小为输入电压的三分之一。</w:t>
      </w:r>
    </w:p>
    <w:p>
      <w:pPr>
        <w:adjustRightInd w:val="0"/>
        <w:ind w:left="181" w:firstLine="418" w:firstLineChars="0"/>
        <w:rPr>
          <w:rFonts w:hint="default" w:ascii="楷体" w:hAnsi="楷体" w:eastAsia="楷体" w:cs="楷体"/>
          <w:color w:val="00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当频率等于谐振频率时有</w:t>
      </w:r>
      <w:r>
        <w:rPr>
          <w:rFonts w:hint="eastAsia" w:ascii="楷体" w:hAnsi="楷体" w:eastAsia="楷体" w:cs="楷体"/>
          <w:color w:val="000000"/>
          <w:position w:val="-24"/>
          <w:szCs w:val="21"/>
          <w:lang w:val="en-US" w:eastAsia="zh-CN"/>
        </w:rPr>
        <w:object>
          <v:shape id="_x0000_i1053" o:spt="75" type="#_x0000_t75" style="height:31pt;width:4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53" DrawAspect="Content" ObjectID="_1468075725" r:id="rId5">
            <o:LockedField>false</o:LockedField>
          </o:OLEObject>
        </w:object>
      </w:r>
    </w:p>
    <w:p>
      <w:pPr>
        <w:adjustRightInd w:val="0"/>
        <w:ind w:left="181"/>
        <w:rPr>
          <w:rFonts w:ascii="Times New Roman" w:hAnsi="Times New Roman" w:eastAsia="华文楷体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spacing w:line="34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熟悉文氏电桥电路的结构特点及其应用，自行测定文氏电桥电路的幅频特性和相频特性；</w:t>
      </w:r>
      <w:r>
        <w:rPr>
          <w:rFonts w:ascii="Times New Roman" w:hAnsi="Times New Roman" w:cs="Times New Roman"/>
          <w:szCs w:val="21"/>
        </w:rPr>
        <w:t>自主测</w:t>
      </w:r>
      <w:r>
        <w:rPr>
          <w:rFonts w:ascii="Times New Roman" w:hAnsi="Times New Roman" w:cs="Times New Roman"/>
        </w:rPr>
        <w:t>定双T带阻网络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</w:rPr>
        <w:t>幅频特性和相频特性；根据测试特性总结、</w:t>
      </w:r>
      <w:r>
        <w:rPr>
          <w:rFonts w:ascii="Times New Roman" w:hAnsi="Times New Roman" w:cs="Times New Roman"/>
          <w:szCs w:val="21"/>
        </w:rPr>
        <w:t>归纳文氏电桥电路与双T电路在幅频特性和相</w:t>
      </w:r>
      <w:r>
        <w:rPr>
          <w:rFonts w:ascii="Times New Roman" w:hAnsi="Times New Roman" w:cs="Times New Roman"/>
        </w:rPr>
        <w:t>频特性</w:t>
      </w:r>
      <w:r>
        <w:rPr>
          <w:rFonts w:ascii="Times New Roman" w:hAnsi="Times New Roman" w:cs="Times New Roman"/>
          <w:szCs w:val="21"/>
        </w:rPr>
        <w:t>的异同点。</w:t>
      </w:r>
    </w:p>
    <w:p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suppressAutoHyphens/>
        <w:spacing w:line="30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（1）函数信号发生器          1台</w:t>
      </w:r>
    </w:p>
    <w:p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（2）双踪示波器              1台</w:t>
      </w:r>
    </w:p>
    <w:p>
      <w:pPr>
        <w:suppressAutoHyphens/>
        <w:spacing w:line="30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（3）动态电路</w:t>
      </w:r>
      <w:r>
        <w:rPr>
          <w:rFonts w:ascii="Times New Roman" w:hAnsi="Times New Roman" w:cs="Times New Roman"/>
        </w:rPr>
        <w:t>元件</w:t>
      </w:r>
      <w:r>
        <w:rPr>
          <w:rFonts w:ascii="Times New Roman" w:hAnsi="Times New Roman" w:cs="Times New Roman"/>
          <w:szCs w:val="21"/>
        </w:rPr>
        <w:t>箱          1个</w:t>
      </w:r>
    </w:p>
    <w:p>
      <w:pPr>
        <w:suppressAutoHyphens/>
        <w:spacing w:before="156" w:beforeLines="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（1）文氏电桥幅频特性的测试</w:t>
      </w:r>
    </w:p>
    <w:p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实验电路如图4.6.4所示，其中RC网络按照图4.6.1连接，其参数选择为：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=1kΩ, </w:t>
      </w:r>
    </w:p>
    <w:p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C=0.022μF，信号源输出正弦波电压作为电路的输入电压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5" o:spt="75" type="#_x0000_t75" style="height:18.1pt;width:11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，调节信号源输出电压幅值，</w:t>
      </w:r>
    </w:p>
    <w:p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使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6" o:spt="75" type="#_x0000_t75" style="height:18.1pt;width:43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360" w:lineRule="auto"/>
        <w:ind w:firstLine="48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1604010</wp:posOffset>
                </wp:positionV>
                <wp:extent cx="1943100" cy="247650"/>
                <wp:effectExtent l="0" t="381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 xml:space="preserve">图 4.6.4 </w:t>
                            </w:r>
                            <w:r>
                              <w:rPr>
                                <w:rFonts w:hint="eastAsia" w:ascii="黑体" w:eastAsia="黑体"/>
                                <w:i/>
                                <w:sz w:val="18"/>
                                <w:szCs w:val="18"/>
                              </w:rPr>
                              <w:t>RC</w:t>
                            </w:r>
                            <w:r>
                              <w:rPr>
                                <w:rFonts w:hint="eastAsia" w:ascii="黑体" w:eastAsia="黑体"/>
                                <w:sz w:val="18"/>
                                <w:szCs w:val="18"/>
                              </w:rPr>
                              <w:t>网络频率特性测试框图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126.3pt;height:19.5pt;width:153pt;z-index:251659264;mso-width-relative:page;mso-height-relative:page;" fillcolor="#FFFFFF" filled="t" stroked="f" coordsize="21600,21600" o:gfxdata="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ckQWXYAAAACwEAAA8AAAAAAAAAAQAgAAAAIgAAAGRycy9kb3ducmV2LnhtbFBLAQIU&#10;ABQAAAAIAIdO4kBWjFFcLAIAAEA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eastAsia="黑体"/>
                          <w:sz w:val="18"/>
                          <w:szCs w:val="18"/>
                        </w:rPr>
                        <w:t xml:space="preserve">图 4.6.4 </w:t>
                      </w:r>
                      <w:r>
                        <w:rPr>
                          <w:rFonts w:hint="eastAsia" w:ascii="黑体" w:eastAsia="黑体"/>
                          <w:i/>
                          <w:sz w:val="18"/>
                          <w:szCs w:val="18"/>
                        </w:rPr>
                        <w:t>RC</w:t>
                      </w:r>
                      <w:r>
                        <w:rPr>
                          <w:rFonts w:hint="eastAsia" w:ascii="黑体" w:eastAsia="黑体"/>
                          <w:sz w:val="18"/>
                          <w:szCs w:val="18"/>
                        </w:rPr>
                        <w:t>网络频率特性测试框图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720340" cy="1967230"/>
            <wp:effectExtent l="0" t="0" r="3810" b="0"/>
            <wp:docPr id="65" name="图片 65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改变信号源正弦波输出电压的频率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5.7pt;width:11.6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（由频率计读得），并保持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8" o:spt="75" type="#_x0000_t75" style="height:18.1pt;width:4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不变（用交流毫伏表监视），测量输出电压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9" o:spt="75" type="#_x0000_t75" style="height:18.1pt;width:16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（可先测量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0" o:spt="75" type="#_x0000_t75" style="height:30.95pt;width:30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i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>
        <w:rPr>
          <w:rFonts w:ascii="Times New Roman" w:hAnsi="Times New Roman" w:cs="Times New Roman"/>
          <w:szCs w:val="21"/>
        </w:rPr>
        <w:t>时的频率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，然后再在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左右选几个频率点进行测量），将数据记入表4.6.1中。</w:t>
      </w:r>
    </w:p>
    <w:p>
      <w:pPr>
        <w:ind w:firstLine="420" w:firstLineChars="20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>在图4.6.1的</w:t>
      </w:r>
      <w:r>
        <w:rPr>
          <w:rFonts w:ascii="Times New Roman" w:hAnsi="Times New Roman" w:cs="Times New Roman"/>
          <w:i/>
          <w:szCs w:val="21"/>
        </w:rPr>
        <w:t>RC</w:t>
      </w:r>
      <w:r>
        <w:rPr>
          <w:rFonts w:ascii="Times New Roman" w:hAnsi="Times New Roman" w:cs="Times New Roman"/>
          <w:szCs w:val="21"/>
        </w:rPr>
        <w:t>网络中，选取另一组参数：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1" o:spt="75" type="#_x0000_t75" style="height:14.5pt;width:50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，C=2.2μF，重复上述测量， 将数据记入表4.6.1中。 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18"/>
          <w:szCs w:val="18"/>
        </w:rPr>
      </w:pPr>
      <w:r>
        <w:rPr>
          <w:rFonts w:ascii="Times New Roman" w:hAnsi="Times New Roman" w:eastAsia="黑体" w:cs="Times New Roman"/>
          <w:sz w:val="18"/>
          <w:szCs w:val="18"/>
        </w:rPr>
        <w:t>表4.6.1 幅频特性测试数据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99"/>
        <w:gridCol w:w="674"/>
        <w:gridCol w:w="675"/>
        <w:gridCol w:w="675"/>
        <w:gridCol w:w="675"/>
        <w:gridCol w:w="674"/>
        <w:gridCol w:w="675"/>
        <w:gridCol w:w="675"/>
        <w:gridCol w:w="675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450" w:type="dxa"/>
            <w:vMerge w:val="restart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999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32" o:spt="75" type="#_x0000_t75" style="height:15.7pt;width:3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3" r:id="rId22">
                  <o:LockedField>false</o:LockedField>
                </o:OLEObject>
              </w:objec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6k</w: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6745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8k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9k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10k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11k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450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position w:val="-6"/>
                <w:sz w:val="18"/>
                <w:szCs w:val="18"/>
                <w:lang w:eastAsia="zh-CN"/>
              </w:rPr>
              <w:object>
                <v:shape id="_x0000_i1033" o:spt="75" type="#_x0000_t75" style="height:12.9pt;width:38.6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4" r:id="rId24">
                  <o:LockedField>false</o:LockedField>
                </o:OLEObject>
              </w:objec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558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612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644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662</w: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666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664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659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644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450" w:type="dxa"/>
            <w:vMerge w:val="restart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034" o:spt="75" type="#_x0000_t75" style="height:14.5pt;width:50.7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5" r:id="rId26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C=2.2μF</w:t>
            </w:r>
          </w:p>
        </w:tc>
        <w:tc>
          <w:tcPr>
            <w:tcW w:w="999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35" o:spt="75" type="#_x0000_t75" style="height:15.7pt;width:3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6" r:id="rId28">
                  <o:LockedField>false</o:LockedField>
                </o:OLEObject>
              </w:objec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130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210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290</w: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370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530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690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870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450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position w:val="-6"/>
                <w:sz w:val="18"/>
                <w:szCs w:val="18"/>
                <w:lang w:eastAsia="zh-CN"/>
              </w:rPr>
              <w:object>
                <v:shape id="_x0000_i1036" o:spt="75" type="#_x0000_t75" style="height:12.9pt;width:38.6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7" r:id="rId30">
                  <o:LockedField>false</o:LockedField>
                </o:OLEObject>
              </w:objec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232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461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606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651</w:t>
            </w:r>
          </w:p>
        </w:tc>
        <w:tc>
          <w:tcPr>
            <w:tcW w:w="67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666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633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591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527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435</w:t>
            </w:r>
          </w:p>
        </w:tc>
      </w:tr>
    </w:tbl>
    <w:p>
      <w:pPr>
        <w:spacing w:before="156" w:beforeLines="50"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（2）文氏电桥相频特性的测试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按实验原理中相频特性的说明，使用双踪示波器测量信号源周期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>
          <v:shape id="_x0000_i1037" o:spt="75" type="#_x0000_t75" style="height:11.65pt;width:11.6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8" r:id="rId3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Cs w:val="21"/>
        </w:rPr>
        <w:t>u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O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Cs w:val="21"/>
        </w:rPr>
        <w:t>u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i</w:t>
      </w:r>
      <w:r>
        <w:rPr>
          <w:rFonts w:ascii="Times New Roman" w:hAnsi="Times New Roman" w:cs="Times New Roman"/>
          <w:color w:val="000000"/>
          <w:szCs w:val="21"/>
        </w:rPr>
        <w:t>之间的时延Δ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及其相位差</w:t>
      </w:r>
      <w:r>
        <w:rPr>
          <w:rFonts w:ascii="Times New Roman" w:hAnsi="Times New Roman" w:cs="Times New Roman"/>
          <w:i/>
          <w:color w:val="000000"/>
          <w:szCs w:val="21"/>
        </w:rPr>
        <w:t>φ</w:t>
      </w:r>
      <w:r>
        <w:rPr>
          <w:rFonts w:ascii="Times New Roman" w:hAnsi="Times New Roman" w:cs="Times New Roman"/>
          <w:color w:val="000000"/>
          <w:szCs w:val="21"/>
        </w:rPr>
        <w:t>，将测试数据记入表</w:t>
      </w:r>
      <w:r>
        <w:rPr>
          <w:rFonts w:ascii="Times New Roman" w:hAnsi="Times New Roman" w:cs="Times New Roman"/>
          <w:szCs w:val="21"/>
        </w:rPr>
        <w:t>4.6.2中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18"/>
          <w:szCs w:val="18"/>
        </w:rPr>
      </w:pPr>
      <w:r>
        <w:rPr>
          <w:rFonts w:ascii="Times New Roman" w:hAnsi="Times New Roman" w:eastAsia="黑体" w:cs="Times New Roman"/>
          <w:sz w:val="18"/>
          <w:szCs w:val="18"/>
        </w:rPr>
        <w:t>表4.6.2 相幅频特性测试数据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2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>
            <w:pPr>
              <w:spacing w:line="360" w:lineRule="atLeast"/>
              <w:ind w:firstLine="120" w:firstLineChar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38" o:spt="75" type="#_x0000_t75" style="height:15.7pt;width:3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9" r:id="rId33">
                  <o:LockedField>false</o:LockedField>
                </o:OLEObject>
              </w:objec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6745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8k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9k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10k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11k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39" o:spt="75" type="#_x0000_t75" style="height:15.7pt;width:34.6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40" r:id="rId35">
                  <o:LockedField>false</o:LockedField>
                </o:OLEObject>
              </w:objec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0.335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0.253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0.202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0.167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0.141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0.125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0.117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Δ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(ms)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0.033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0.021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0.009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0.003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-0.001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-0.002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-0.004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1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40" o:spt="75" type="#_x0000_t75" style="height:12.85pt;width:10.8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1" r:id="rId37">
                  <o:LockedField>false</o:LockedField>
                </o:OLEObject>
              </w:objec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33.32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25.28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16.02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6.51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-6.88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-11.81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-16.26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-21.09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041" o:spt="75" type="#_x0000_t75" style="height:14.5pt;width:50.7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2" r:id="rId39">
                  <o:LockedField>false</o:LockedField>
                </o:OLEObject>
              </w:objec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C=2.2μF</w:t>
            </w: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42" o:spt="75" type="#_x0000_t75" style="height:15.7pt;width:3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130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210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290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370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530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690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870</w:t>
            </w:r>
          </w:p>
        </w:tc>
        <w:tc>
          <w:tcPr>
            <w:tcW w:w="654" w:type="dxa"/>
            <w:vAlign w:val="top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456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43" o:spt="75" type="#_x0000_t75" style="height:15.7pt;width:34.6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20.988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9.105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5.002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3.796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2.763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1.808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1.528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1.001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Δ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(ms)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4.509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1.001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0.271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0.109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-0.079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-0.084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-0.097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-0.114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044" o:spt="75" type="#_x0000_t75" style="height:12.85pt;width:10.85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79.01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42.39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19.51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13.94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-13.89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-17.01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-21.35</w:t>
            </w:r>
          </w:p>
        </w:tc>
        <w:tc>
          <w:tcPr>
            <w:tcW w:w="654" w:type="dxa"/>
          </w:tcPr>
          <w:p>
            <w:pPr>
              <w:spacing w:line="360" w:lineRule="auto"/>
              <w:rPr>
                <w:rFonts w:hint="default" w:ascii="Times New Roman" w:hAnsi="Times New Roman" w:eastAsia="黑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15"/>
                <w:szCs w:val="15"/>
                <w:lang w:val="en-US" w:eastAsia="zh-CN"/>
              </w:rPr>
              <w:t>-27.19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pacing w:line="300" w:lineRule="auto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、</w:t>
      </w:r>
      <w:r>
        <w:rPr>
          <w:rFonts w:ascii="Times New Roman" w:hAnsi="Times New Roman" w:eastAsia="黑体" w:cs="Times New Roman"/>
          <w:sz w:val="24"/>
        </w:rPr>
        <w:t>实验报告要求</w:t>
      </w:r>
    </w:p>
    <w:p>
      <w:pPr>
        <w:spacing w:line="340" w:lineRule="exact"/>
        <w:ind w:left="-357" w:leftChars="-170" w:firstLine="21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（1）根据表4.6.1和表4.6.2实验数据，绘制文氏电桥电路的两组幅频特性和相频特</w:t>
      </w:r>
    </w:p>
    <w:p>
      <w:pPr>
        <w:spacing w:line="340" w:lineRule="exact"/>
        <w:ind w:left="-357" w:leftChars="-1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性曲线，找出谐振频率和幅频特性的最大值，并与理论计算值比较。</w:t>
      </w:r>
    </w:p>
    <w:p>
      <w:pPr>
        <w:spacing w:line="340" w:lineRule="exact"/>
        <w:ind w:left="-357" w:leftChars="-170"/>
        <w:jc w:val="left"/>
        <w:rPr>
          <w:rFonts w:ascii="Times New Roman" w:hAnsi="Times New Roman" w:cs="Times New Roman"/>
        </w:rPr>
      </w:pPr>
    </w:p>
    <w:p>
      <w:pPr>
        <w:spacing w:line="340" w:lineRule="exact"/>
        <w:ind w:left="-357" w:leftChars="-170"/>
        <w:jc w:val="left"/>
        <w:rPr>
          <w:rFonts w:ascii="Times New Roman" w:hAnsi="Times New Roman" w:cs="Times New Roman"/>
        </w:rPr>
      </w:pPr>
    </w:p>
    <w:p>
      <w:pPr>
        <w:spacing w:line="340" w:lineRule="exact"/>
        <w:ind w:left="-357" w:leftChars="-170"/>
        <w:jc w:val="left"/>
        <w:rPr>
          <w:rFonts w:ascii="Times New Roman" w:hAnsi="Times New Roman" w:cs="Times New Roman"/>
        </w:rPr>
      </w:pPr>
    </w:p>
    <w:tbl>
      <w:tblPr>
        <w:tblStyle w:val="6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8"/>
        <w:gridCol w:w="4008"/>
        <w:gridCol w:w="4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</w:trPr>
        <w:tc>
          <w:tcPr>
            <w:tcW w:w="738" w:type="dxa"/>
          </w:tcPr>
          <w:p>
            <w:pPr>
              <w:rPr>
                <w:rFonts w:ascii="Times New Roman" w:hAnsi="Times New Roman" w:cs="Times New Roman"/>
                <w:sz w:val="24"/>
                <w:vertAlign w:val="baseline"/>
              </w:rPr>
            </w:pPr>
          </w:p>
        </w:tc>
        <w:tc>
          <w:tcPr>
            <w:tcW w:w="4008" w:type="dxa"/>
          </w:tcPr>
          <w:p>
            <w:pPr>
              <w:spacing w:line="360" w:lineRule="atLeast"/>
              <w:jc w:val="center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403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046" o:spt="75" type="#_x0000_t75" style="height:14.5pt;width:50.7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position w:val="-6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C=2.2μF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3" w:hRule="atLeast"/>
        </w:trPr>
        <w:tc>
          <w:tcPr>
            <w:tcW w:w="738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幅频</w:t>
            </w:r>
          </w:p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400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2374900" cy="1865630"/>
                  <wp:effectExtent l="0" t="0" r="2540" b="889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>
            <w:pPr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2392680" cy="1849755"/>
                  <wp:effectExtent l="0" t="0" r="0" b="9525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4" w:hRule="atLeast"/>
        </w:trPr>
        <w:tc>
          <w:tcPr>
            <w:tcW w:w="738" w:type="dxa"/>
          </w:tcPr>
          <w:p>
            <w:pP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相频</w:t>
            </w:r>
          </w:p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4008" w:type="dxa"/>
          </w:tcPr>
          <w:p>
            <w:pPr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2404745" cy="1898650"/>
                  <wp:effectExtent l="0" t="0" r="3175" b="635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>
            <w:pPr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drawing>
                <wp:inline distT="0" distB="0" distL="114300" distR="114300">
                  <wp:extent cx="2411730" cy="1877060"/>
                  <wp:effectExtent l="0" t="0" r="11430" b="12700"/>
                  <wp:docPr id="5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30" cy="187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73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0"/>
                <w:szCs w:val="30"/>
                <w:vertAlign w:val="baseline"/>
                <w:lang w:val="en-US" w:eastAsia="zh-CN"/>
              </w:rPr>
              <w:t>f</w:t>
            </w:r>
          </w:p>
        </w:tc>
        <w:tc>
          <w:tcPr>
            <w:tcW w:w="40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7234Hz</w:t>
            </w:r>
          </w:p>
        </w:tc>
        <w:tc>
          <w:tcPr>
            <w:tcW w:w="403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362Hz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5" w:hRule="atLeast"/>
        </w:trPr>
        <w:tc>
          <w:tcPr>
            <w:tcW w:w="738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6"/>
                <w:sz w:val="30"/>
                <w:szCs w:val="30"/>
                <w:vertAlign w:val="baseline"/>
                <w:lang w:val="en-US" w:eastAsia="zh-CN"/>
              </w:rPr>
              <w:object>
                <v:shape id="_x0000_i1052" o:spt="75" type="#_x0000_t75" style="height:17.05pt;width:15.9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47" r:id="rId50">
                  <o:LockedField>false</o:LockedField>
                </o:OLEObject>
              </w:object>
            </w:r>
          </w:p>
        </w:tc>
        <w:tc>
          <w:tcPr>
            <w:tcW w:w="400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6745Hz</w:t>
            </w:r>
          </w:p>
        </w:tc>
        <w:tc>
          <w:tcPr>
            <w:tcW w:w="403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370Hz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35" w:hRule="atLeast"/>
        </w:trPr>
        <w:tc>
          <w:tcPr>
            <w:tcW w:w="738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误差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分析</w:t>
            </w:r>
          </w:p>
        </w:tc>
        <w:tc>
          <w:tcPr>
            <w:tcW w:w="8040" w:type="dxa"/>
            <w:gridSpan w:val="2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由于实验是在仿真环境下进行的，因此仪器误差可以几乎忽略不计。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示波器示数很难稳定，可能在读数过程中出现误差。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实验主要误差应来源于所测得数据偏少，曲线不能很精确的反应电路的幅频、相频特性，因此造成较大误差。由于</w:t>
            </w:r>
            <w:r>
              <w:rPr>
                <w:rFonts w:hint="eastAsia" w:ascii="楷体" w:hAnsi="楷体" w:eastAsia="楷体" w:cs="楷体"/>
                <w:i/>
                <w:sz w:val="24"/>
              </w:rPr>
              <w:t>R</w:t>
            </w:r>
            <w:r>
              <w:rPr>
                <w:rFonts w:hint="eastAsia" w:ascii="楷体" w:hAnsi="楷体" w:eastAsia="楷体" w:cs="楷体"/>
                <w:sz w:val="24"/>
              </w:rPr>
              <w:t>=1kΩ</w:t>
            </w:r>
            <w:r>
              <w:rPr>
                <w:rFonts w:hint="eastAsia" w:ascii="楷体" w:hAnsi="楷体" w:eastAsia="楷体" w:cs="楷体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</w:rPr>
              <w:t>C=0.022μF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一组数据量级较大，没有相当数量的数据作支撑，因此误差偏大，而另一组较为精准。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ind w:firstLine="420" w:firstLineChars="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</w:pPr>
      <w:r>
        <w:rPr>
          <w:rFonts w:ascii="Times New Roman" w:hAnsi="Times New Roman" w:cs="Times New Roman"/>
          <w:b/>
          <w:sz w:val="24"/>
        </w:rPr>
        <w:t>实验十</w:t>
      </w:r>
      <w:r>
        <w:rPr>
          <w:rFonts w:hint="eastAsia" w:ascii="Times New Roman" w:hAnsi="Times New Roman" w:cs="Times New Roman"/>
          <w:b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成绩：____________</w:t>
      </w: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1132718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5C46F"/>
    <w:multiLevelType w:val="singleLevel"/>
    <w:tmpl w:val="22E5C4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825B8C"/>
    <w:multiLevelType w:val="multilevel"/>
    <w:tmpl w:val="2E825B8C"/>
    <w:lvl w:ilvl="0" w:tentative="0">
      <w:start w:val="1"/>
      <w:numFmt w:val="decimalEnclosedCircle"/>
      <w:lvlText w:val="%1"/>
      <w:lvlJc w:val="left"/>
      <w:pPr>
        <w:ind w:left="541" w:hanging="360"/>
      </w:pPr>
      <w:rPr>
        <w:rFonts w:hint="default" w:ascii="华文楷体" w:hAnsi="华文楷体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mM2NhOTdiNzA0MTgxYzBhYTIwOTI0YjZiNjBjNDMifQ=="/>
  </w:docVars>
  <w:rsids>
    <w:rsidRoot w:val="00B90952"/>
    <w:rsid w:val="000242E0"/>
    <w:rsid w:val="000F6803"/>
    <w:rsid w:val="001150FE"/>
    <w:rsid w:val="00660155"/>
    <w:rsid w:val="006A3269"/>
    <w:rsid w:val="0087688B"/>
    <w:rsid w:val="00930D69"/>
    <w:rsid w:val="00B903CC"/>
    <w:rsid w:val="00B90952"/>
    <w:rsid w:val="00CE3266"/>
    <w:rsid w:val="0B895F3A"/>
    <w:rsid w:val="2AD17185"/>
    <w:rsid w:val="2EFD278C"/>
    <w:rsid w:val="352E6C76"/>
    <w:rsid w:val="3B517956"/>
    <w:rsid w:val="3F076453"/>
    <w:rsid w:val="45E10B02"/>
    <w:rsid w:val="530448C3"/>
    <w:rsid w:val="5BE866CF"/>
    <w:rsid w:val="7B2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993</Words>
  <Characters>1494</Characters>
  <Lines>12</Lines>
  <Paragraphs>3</Paragraphs>
  <TotalTime>5</TotalTime>
  <ScaleCrop>false</ScaleCrop>
  <LinksUpToDate>false</LinksUpToDate>
  <CharactersWithSpaces>1593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2018-09-21T06:53:00Z</dcterms:created>
  <dc:creator>luoxj</dc:creator>
  <cp:lastModifiedBy>Chubbyก</cp:lastModifiedBy>
  <dcterms:modified xsi:type="dcterms:W3CDTF">2022-12-17T10:42:00Z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BC407A32D9354839A19179EBCE739907</vt:lpwstr>
  </property>
</Properties>
</file>