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0"/>
        <w:jc w:val="center"/>
        <w:rPr>
          <w:rFonts w:ascii="宋体" w:hAnsi="宋体" w:eastAsia="宋体"/>
          <w:b/>
          <w:sz w:val="56"/>
        </w:rPr>
      </w:pPr>
    </w:p>
    <w:p>
      <w:pPr>
        <w:spacing w:line="360" w:lineRule="auto"/>
        <w:ind w:firstLine="0"/>
        <w:jc w:val="center"/>
        <w:rPr>
          <w:rFonts w:ascii="宋体" w:hAnsi="宋体" w:eastAsia="宋体"/>
          <w:b/>
          <w:sz w:val="56"/>
        </w:rPr>
      </w:pPr>
    </w:p>
    <w:p>
      <w:pPr>
        <w:spacing w:line="360" w:lineRule="auto"/>
        <w:ind w:firstLine="0"/>
        <w:jc w:val="center"/>
        <w:rPr>
          <w:rFonts w:ascii="宋体" w:hAnsi="宋体" w:eastAsia="宋体"/>
          <w:b/>
          <w:sz w:val="56"/>
        </w:rPr>
      </w:pPr>
    </w:p>
    <w:p>
      <w:pPr>
        <w:spacing w:line="360" w:lineRule="auto"/>
        <w:ind w:firstLine="0"/>
        <w:jc w:val="center"/>
        <w:rPr>
          <w:rFonts w:ascii="宋体" w:hAnsi="宋体" w:eastAsia="宋体"/>
          <w:b/>
          <w:sz w:val="44"/>
          <w:szCs w:val="18"/>
        </w:rPr>
      </w:pPr>
    </w:p>
    <w:p>
      <w:pPr>
        <w:spacing w:line="360" w:lineRule="auto"/>
        <w:ind w:firstLine="0"/>
        <w:jc w:val="both"/>
        <w:rPr>
          <w:sz w:val="20"/>
          <w:szCs w:val="18"/>
        </w:rPr>
      </w:pPr>
      <w:r>
        <w:rPr>
          <w:rFonts w:ascii="宋体" w:hAnsi="宋体" w:eastAsia="宋体"/>
          <w:b/>
          <w:sz w:val="44"/>
          <w:szCs w:val="18"/>
        </w:rPr>
        <w:t>人工智能（推荐算法）赋能文旅空间重构</w:t>
      </w:r>
    </w:p>
    <w:p>
      <w:pPr>
        <w:spacing w:line="360" w:lineRule="auto"/>
        <w:ind w:firstLine="0"/>
        <w:jc w:val="right"/>
      </w:pPr>
      <w:r>
        <w:rPr>
          <w:rFonts w:ascii="宋体" w:hAnsi="宋体" w:eastAsia="宋体"/>
          <w:b/>
          <w:sz w:val="44"/>
        </w:rPr>
        <w:t>—— 以贵州村超为例</w:t>
      </w: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both"/>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center"/>
        <w:rPr>
          <w:rFonts w:ascii="宋体" w:hAnsi="宋体" w:eastAsia="宋体"/>
          <w:sz w:val="28"/>
        </w:rPr>
      </w:pPr>
    </w:p>
    <w:p>
      <w:pPr>
        <w:ind w:firstLine="0"/>
        <w:jc w:val="both"/>
        <w:rPr>
          <w:rFonts w:ascii="宋体" w:hAnsi="宋体" w:eastAsia="宋体"/>
          <w:sz w:val="28"/>
        </w:rPr>
        <w:sectPr>
          <w:footerReference r:id="rId3" w:type="default"/>
          <w:pgSz w:w="11906" w:h="16838"/>
          <w:pgMar w:top="1440" w:right="1800" w:bottom="1440" w:left="1800" w:header="720" w:footer="720" w:gutter="0"/>
          <w:cols w:space="720" w:num="1"/>
          <w:docGrid w:linePitch="360" w:charSpace="0"/>
        </w:sectPr>
      </w:pPr>
    </w:p>
    <w:sdt>
      <w:sdtPr>
        <w:rPr>
          <w:rFonts w:ascii="宋体" w:hAnsi="宋体" w:eastAsia="宋体" w:cstheme="minorBidi"/>
          <w:b/>
          <w:bCs/>
          <w:color w:val="000000"/>
          <w:sz w:val="32"/>
          <w:szCs w:val="32"/>
          <w:lang w:val="en-US" w:eastAsia="en-US" w:bidi="ar-SA"/>
        </w:rPr>
        <w:id w:val="147451238"/>
        <w15:color w:val="DBDBDB"/>
        <w:docPartObj>
          <w:docPartGallery w:val="Table of Contents"/>
          <w:docPartUnique/>
        </w:docPartObj>
      </w:sdtPr>
      <w:sdtEndPr>
        <w:rPr>
          <w:rFonts w:ascii="宋体" w:hAnsi="宋体" w:eastAsia="宋体" w:cstheme="minorBidi"/>
          <w:b/>
          <w:bCs/>
          <w:color w:val="000000"/>
          <w:sz w:val="32"/>
          <w:szCs w:val="32"/>
          <w:lang w:val="en-US" w:eastAsia="en-US" w:bidi="ar-SA"/>
        </w:rPr>
      </w:sdtEndPr>
      <w:sdtContent>
        <w:p>
          <w:pPr>
            <w:spacing w:before="0" w:beforeLines="0" w:after="0" w:afterLines="0" w:line="240" w:lineRule="auto"/>
            <w:ind w:left="0" w:leftChars="0" w:right="0" w:rightChars="0" w:firstLine="0" w:firstLineChars="0"/>
            <w:jc w:val="center"/>
          </w:pPr>
          <w:r>
            <w:rPr>
              <w:rFonts w:ascii="宋体" w:hAnsi="宋体" w:eastAsia="宋体"/>
              <w:b/>
              <w:bCs/>
              <w:sz w:val="32"/>
              <w:szCs w:val="32"/>
            </w:rPr>
            <w:t>目</w:t>
          </w:r>
          <w:r>
            <w:rPr>
              <w:rFonts w:hint="eastAsia"/>
              <w:b/>
              <w:bCs/>
              <w:sz w:val="32"/>
              <w:szCs w:val="32"/>
              <w:lang w:val="en-US" w:eastAsia="zh-CN"/>
            </w:rPr>
            <w:t xml:space="preserve"> </w:t>
          </w:r>
          <w:r>
            <w:rPr>
              <w:rFonts w:ascii="宋体" w:hAnsi="宋体" w:eastAsia="宋体"/>
              <w:b/>
              <w:bCs/>
              <w:sz w:val="32"/>
              <w:szCs w:val="32"/>
            </w:rPr>
            <w:t>录</w:t>
          </w:r>
          <w:r>
            <w:fldChar w:fldCharType="begin"/>
          </w:r>
          <w:r>
            <w:instrText xml:space="preserve">TOC \o "1-3" \h \u </w:instrText>
          </w:r>
          <w:r>
            <w:fldChar w:fldCharType="separate"/>
          </w:r>
        </w:p>
        <w:p>
          <w:pPr>
            <w:pStyle w:val="164"/>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_Toc4641 </w:instrText>
          </w:r>
          <w:r>
            <w:rPr>
              <w:rFonts w:hint="eastAsia" w:ascii="宋体" w:hAnsi="宋体" w:eastAsia="宋体" w:cs="宋体"/>
              <w:sz w:val="24"/>
              <w:szCs w:val="24"/>
            </w:rPr>
            <w:fldChar w:fldCharType="separate"/>
          </w:r>
          <w:r>
            <w:rPr>
              <w:rFonts w:hint="eastAsia" w:ascii="宋体" w:hAnsi="宋体" w:eastAsia="宋体" w:cs="宋体"/>
              <w:sz w:val="24"/>
              <w:szCs w:val="24"/>
            </w:rPr>
            <w:t>一、研究设计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_Toc4641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_Toc15811 </w:instrText>
          </w:r>
          <w:r>
            <w:rPr>
              <w:rFonts w:hint="eastAsia" w:ascii="宋体" w:hAnsi="宋体" w:eastAsia="宋体" w:cs="宋体"/>
              <w:sz w:val="24"/>
              <w:szCs w:val="24"/>
            </w:rPr>
            <w:fldChar w:fldCharType="separate"/>
          </w:r>
          <w:r>
            <w:rPr>
              <w:rFonts w:hint="eastAsia" w:ascii="宋体" w:hAnsi="宋体" w:eastAsia="宋体" w:cs="宋体"/>
              <w:sz w:val="24"/>
              <w:szCs w:val="24"/>
            </w:rPr>
            <w:t>（一）研究目的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_Toc15811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_Toc29163 </w:instrText>
          </w:r>
          <w:r>
            <w:rPr>
              <w:rFonts w:hint="eastAsia" w:ascii="宋体" w:hAnsi="宋体" w:eastAsia="宋体" w:cs="宋体"/>
              <w:sz w:val="24"/>
              <w:szCs w:val="24"/>
            </w:rPr>
            <w:fldChar w:fldCharType="separate"/>
          </w:r>
          <w:r>
            <w:rPr>
              <w:rFonts w:hint="eastAsia" w:ascii="宋体" w:hAnsi="宋体" w:eastAsia="宋体" w:cs="宋体"/>
              <w:sz w:val="24"/>
              <w:szCs w:val="24"/>
            </w:rPr>
            <w:t>（二）研究思路与技术路线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_Toc29163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4"/>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_Toc30714 </w:instrText>
          </w:r>
          <w:r>
            <w:rPr>
              <w:rFonts w:hint="eastAsia" w:ascii="宋体" w:hAnsi="宋体" w:eastAsia="宋体" w:cs="宋体"/>
              <w:sz w:val="24"/>
              <w:szCs w:val="24"/>
            </w:rPr>
            <w:fldChar w:fldCharType="separate"/>
          </w:r>
          <w:r>
            <w:rPr>
              <w:rFonts w:hint="eastAsia" w:ascii="宋体" w:hAnsi="宋体" w:eastAsia="宋体" w:cs="宋体"/>
              <w:sz w:val="24"/>
              <w:szCs w:val="24"/>
            </w:rPr>
            <w:t>二、平台流量分析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_Toc30714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_Toc26413 </w:instrText>
          </w:r>
          <w:r>
            <w:rPr>
              <w:rFonts w:hint="eastAsia" w:ascii="宋体" w:hAnsi="宋体" w:eastAsia="宋体" w:cs="宋体"/>
              <w:sz w:val="24"/>
              <w:szCs w:val="24"/>
            </w:rPr>
            <w:fldChar w:fldCharType="separate"/>
          </w:r>
          <w:r>
            <w:rPr>
              <w:rFonts w:hint="eastAsia" w:ascii="宋体" w:hAnsi="宋体" w:eastAsia="宋体" w:cs="宋体"/>
              <w:sz w:val="24"/>
              <w:szCs w:val="24"/>
            </w:rPr>
            <w:t>（一）数据来源与采集方式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_Toc26413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_Toc6821 </w:instrText>
          </w:r>
          <w:r>
            <w:rPr>
              <w:rFonts w:hint="eastAsia" w:ascii="宋体" w:hAnsi="宋体" w:eastAsia="宋体" w:cs="宋体"/>
              <w:sz w:val="24"/>
              <w:szCs w:val="24"/>
            </w:rPr>
            <w:fldChar w:fldCharType="separate"/>
          </w:r>
          <w:r>
            <w:rPr>
              <w:rFonts w:hint="eastAsia" w:ascii="宋体" w:hAnsi="宋体" w:eastAsia="宋体" w:cs="宋体"/>
              <w:sz w:val="24"/>
              <w:szCs w:val="24"/>
            </w:rPr>
            <w:t>（二）七主题平台流量分布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_Toc6821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_Toc11640 </w:instrText>
          </w:r>
          <w:r>
            <w:rPr>
              <w:rFonts w:hint="eastAsia" w:ascii="宋体" w:hAnsi="宋体" w:eastAsia="宋体" w:cs="宋体"/>
              <w:sz w:val="24"/>
              <w:szCs w:val="24"/>
            </w:rPr>
            <w:fldChar w:fldCharType="separate"/>
          </w:r>
          <w:r>
            <w:rPr>
              <w:rFonts w:hint="eastAsia" w:ascii="宋体" w:hAnsi="宋体" w:eastAsia="宋体" w:cs="宋体"/>
              <w:sz w:val="24"/>
              <w:szCs w:val="24"/>
            </w:rPr>
            <w:t>（</w:t>
          </w:r>
          <w:r>
            <w:rPr>
              <w:rFonts w:hint="eastAsia" w:ascii="宋体" w:hAnsi="宋体" w:eastAsia="宋体" w:cs="宋体"/>
              <w:sz w:val="24"/>
              <w:szCs w:val="24"/>
              <w:lang w:val="en-US" w:eastAsia="zh-CN"/>
            </w:rPr>
            <w:t>三</w:t>
          </w:r>
          <w:r>
            <w:rPr>
              <w:rFonts w:hint="eastAsia" w:ascii="宋体" w:hAnsi="宋体" w:eastAsia="宋体" w:cs="宋体"/>
              <w:sz w:val="24"/>
              <w:szCs w:val="24"/>
            </w:rPr>
            <w:t>）平台流量特征小结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_Toc11640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4"/>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_Toc7164 </w:instrText>
          </w:r>
          <w:r>
            <w:rPr>
              <w:rFonts w:hint="eastAsia" w:ascii="宋体" w:hAnsi="宋体" w:eastAsia="宋体" w:cs="宋体"/>
              <w:sz w:val="24"/>
              <w:szCs w:val="24"/>
            </w:rPr>
            <w:fldChar w:fldCharType="separate"/>
          </w:r>
          <w:r>
            <w:rPr>
              <w:rFonts w:hint="eastAsia" w:ascii="宋体" w:hAnsi="宋体" w:eastAsia="宋体" w:cs="宋体"/>
              <w:sz w:val="24"/>
              <w:szCs w:val="24"/>
            </w:rPr>
            <w:t>三、受众需求分析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_Toc7164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_Toc3947 </w:instrText>
          </w:r>
          <w:r>
            <w:rPr>
              <w:rFonts w:hint="eastAsia" w:ascii="宋体" w:hAnsi="宋体" w:eastAsia="宋体" w:cs="宋体"/>
              <w:sz w:val="24"/>
              <w:szCs w:val="24"/>
            </w:rPr>
            <w:fldChar w:fldCharType="separate"/>
          </w:r>
          <w:r>
            <w:rPr>
              <w:rFonts w:hint="eastAsia" w:ascii="宋体" w:hAnsi="宋体" w:eastAsia="宋体" w:cs="宋体"/>
              <w:sz w:val="24"/>
              <w:szCs w:val="24"/>
            </w:rPr>
            <w:t>（一）调查设计与数据采集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_Toc3947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_Toc7260 </w:instrText>
          </w:r>
          <w:r>
            <w:rPr>
              <w:rFonts w:hint="eastAsia" w:ascii="宋体" w:hAnsi="宋体" w:eastAsia="宋体" w:cs="宋体"/>
              <w:sz w:val="24"/>
              <w:szCs w:val="24"/>
            </w:rPr>
            <w:fldChar w:fldCharType="separate"/>
          </w:r>
          <w:r>
            <w:rPr>
              <w:rFonts w:hint="eastAsia" w:ascii="宋体" w:hAnsi="宋体" w:eastAsia="宋体" w:cs="宋体"/>
              <w:sz w:val="24"/>
              <w:szCs w:val="24"/>
            </w:rPr>
            <w:t>（二）七主题受众需求分布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_Toc7260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_Toc4927 </w:instrText>
          </w:r>
          <w:r>
            <w:rPr>
              <w:rFonts w:hint="eastAsia" w:ascii="宋体" w:hAnsi="宋体" w:eastAsia="宋体" w:cs="宋体"/>
              <w:sz w:val="24"/>
              <w:szCs w:val="24"/>
            </w:rPr>
            <w:fldChar w:fldCharType="separate"/>
          </w:r>
          <w:r>
            <w:rPr>
              <w:rFonts w:hint="eastAsia" w:ascii="宋体" w:hAnsi="宋体" w:eastAsia="宋体" w:cs="宋体"/>
              <w:sz w:val="24"/>
              <w:szCs w:val="24"/>
            </w:rPr>
            <w:t>（三）需求梯队划分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_Toc4927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_Toc6948 </w:instrText>
          </w:r>
          <w:r>
            <w:rPr>
              <w:rFonts w:hint="eastAsia" w:ascii="宋体" w:hAnsi="宋体" w:eastAsia="宋体" w:cs="宋体"/>
              <w:sz w:val="24"/>
              <w:szCs w:val="24"/>
            </w:rPr>
            <w:fldChar w:fldCharType="separate"/>
          </w:r>
          <w:r>
            <w:rPr>
              <w:rFonts w:hint="eastAsia" w:ascii="宋体" w:hAnsi="宋体" w:eastAsia="宋体" w:cs="宋体"/>
              <w:sz w:val="24"/>
              <w:szCs w:val="24"/>
            </w:rPr>
            <w:t>（四）受众需求特征小结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_Toc6948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4"/>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_Toc11449 </w:instrText>
          </w:r>
          <w:r>
            <w:rPr>
              <w:rFonts w:hint="eastAsia" w:ascii="宋体" w:hAnsi="宋体" w:eastAsia="宋体" w:cs="宋体"/>
              <w:sz w:val="24"/>
              <w:szCs w:val="24"/>
            </w:rPr>
            <w:fldChar w:fldCharType="separate"/>
          </w:r>
          <w:r>
            <w:rPr>
              <w:rFonts w:hint="eastAsia" w:ascii="宋体" w:hAnsi="宋体" w:eastAsia="宋体" w:cs="宋体"/>
              <w:sz w:val="24"/>
              <w:szCs w:val="24"/>
            </w:rPr>
            <w:t>四、内容供给分析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_Toc11449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_Toc28511 </w:instrText>
          </w:r>
          <w:r>
            <w:rPr>
              <w:rFonts w:hint="eastAsia" w:ascii="宋体" w:hAnsi="宋体" w:eastAsia="宋体" w:cs="宋体"/>
              <w:sz w:val="24"/>
              <w:szCs w:val="24"/>
            </w:rPr>
            <w:fldChar w:fldCharType="separate"/>
          </w:r>
          <w:r>
            <w:rPr>
              <w:rFonts w:hint="eastAsia" w:ascii="宋体" w:hAnsi="宋体" w:eastAsia="宋体" w:cs="宋体"/>
              <w:sz w:val="24"/>
              <w:szCs w:val="24"/>
            </w:rPr>
            <w:t>（一）数据来源与采集方式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_Toc28511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_Toc10152 </w:instrText>
          </w:r>
          <w:r>
            <w:rPr>
              <w:rFonts w:hint="eastAsia" w:ascii="宋体" w:hAnsi="宋体" w:eastAsia="宋体" w:cs="宋体"/>
              <w:sz w:val="24"/>
              <w:szCs w:val="24"/>
            </w:rPr>
            <w:fldChar w:fldCharType="separate"/>
          </w:r>
          <w:r>
            <w:rPr>
              <w:rFonts w:hint="eastAsia" w:ascii="宋体" w:hAnsi="宋体" w:eastAsia="宋体" w:cs="宋体"/>
              <w:sz w:val="24"/>
              <w:szCs w:val="24"/>
            </w:rPr>
            <w:t>（二）三平台×七主题供给矩阵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_Toc10152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_Toc2763 </w:instrText>
          </w:r>
          <w:r>
            <w:rPr>
              <w:rFonts w:hint="eastAsia" w:ascii="宋体" w:hAnsi="宋体" w:eastAsia="宋体" w:cs="宋体"/>
              <w:sz w:val="24"/>
              <w:szCs w:val="24"/>
            </w:rPr>
            <w:fldChar w:fldCharType="separate"/>
          </w:r>
          <w:r>
            <w:rPr>
              <w:rFonts w:hint="eastAsia" w:ascii="宋体" w:hAnsi="宋体" w:eastAsia="宋体" w:cs="宋体"/>
              <w:sz w:val="24"/>
              <w:szCs w:val="24"/>
            </w:rPr>
            <w:t>（三）内容供给特征小结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_Toc2763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4"/>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_Toc22362 </w:instrText>
          </w:r>
          <w:r>
            <w:rPr>
              <w:rFonts w:hint="eastAsia" w:ascii="宋体" w:hAnsi="宋体" w:eastAsia="宋体" w:cs="宋体"/>
              <w:sz w:val="24"/>
              <w:szCs w:val="24"/>
            </w:rPr>
            <w:fldChar w:fldCharType="separate"/>
          </w:r>
          <w:r>
            <w:rPr>
              <w:rFonts w:hint="eastAsia" w:ascii="宋体" w:hAnsi="宋体" w:eastAsia="宋体" w:cs="宋体"/>
              <w:sz w:val="24"/>
              <w:szCs w:val="24"/>
            </w:rPr>
            <w:t>五、IPA矩阵分析与供需对比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_Toc22362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_Toc505 </w:instrText>
          </w:r>
          <w:r>
            <w:rPr>
              <w:rFonts w:hint="eastAsia" w:ascii="宋体" w:hAnsi="宋体" w:eastAsia="宋体" w:cs="宋体"/>
              <w:sz w:val="24"/>
              <w:szCs w:val="24"/>
            </w:rPr>
            <w:fldChar w:fldCharType="separate"/>
          </w:r>
          <w:r>
            <w:rPr>
              <w:rFonts w:hint="eastAsia" w:ascii="宋体" w:hAnsi="宋体" w:eastAsia="宋体" w:cs="宋体"/>
              <w:sz w:val="24"/>
              <w:szCs w:val="24"/>
            </w:rPr>
            <w:t>（一）三表排序一致性对比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_Toc505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二</w:t>
          </w:r>
          <w:r>
            <w:rPr>
              <w:rFonts w:hint="eastAsia" w:ascii="宋体" w:hAnsi="宋体" w:eastAsia="宋体" w:cs="宋体"/>
              <w:sz w:val="24"/>
              <w:szCs w:val="24"/>
            </w:rPr>
            <w:t>）IPA矩阵分析</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_Toc15018 </w:instrText>
          </w:r>
          <w:r>
            <w:rPr>
              <w:rFonts w:hint="eastAsia" w:ascii="宋体" w:hAnsi="宋体" w:eastAsia="宋体" w:cs="宋体"/>
              <w:sz w:val="24"/>
              <w:szCs w:val="24"/>
            </w:rPr>
            <w:fldChar w:fldCharType="separate"/>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_Toc15018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三</w:t>
          </w:r>
          <w:r>
            <w:rPr>
              <w:rFonts w:hint="eastAsia" w:ascii="宋体" w:hAnsi="宋体" w:eastAsia="宋体" w:cs="宋体"/>
              <w:sz w:val="24"/>
              <w:szCs w:val="24"/>
            </w:rPr>
            <w:t>）平台流量与受众需求供需差值</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_Toc27294 </w:instrText>
          </w:r>
          <w:r>
            <w:rPr>
              <w:rFonts w:hint="eastAsia" w:ascii="宋体" w:hAnsi="宋体" w:eastAsia="宋体" w:cs="宋体"/>
              <w:sz w:val="24"/>
              <w:szCs w:val="24"/>
            </w:rPr>
            <w:fldChar w:fldCharType="separate"/>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_Toc27294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_Toc2190 </w:instrText>
          </w:r>
          <w:r>
            <w:rPr>
              <w:rFonts w:hint="eastAsia" w:ascii="宋体" w:hAnsi="宋体" w:eastAsia="宋体" w:cs="宋体"/>
              <w:sz w:val="24"/>
              <w:szCs w:val="24"/>
            </w:rPr>
            <w:fldChar w:fldCharType="separate"/>
          </w:r>
          <w:r>
            <w:rPr>
              <w:rFonts w:hint="eastAsia" w:ascii="宋体" w:hAnsi="宋体" w:eastAsia="宋体" w:cs="宋体"/>
              <w:sz w:val="24"/>
              <w:szCs w:val="24"/>
            </w:rPr>
            <w:t>（四）供需错位核心发现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_Toc2190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4"/>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_Toc21071 </w:instrText>
          </w:r>
          <w:r>
            <w:rPr>
              <w:rFonts w:hint="eastAsia" w:ascii="宋体" w:hAnsi="宋体" w:eastAsia="宋体" w:cs="宋体"/>
              <w:sz w:val="24"/>
              <w:szCs w:val="24"/>
            </w:rPr>
            <w:fldChar w:fldCharType="separate"/>
          </w:r>
          <w:r>
            <w:rPr>
              <w:rFonts w:hint="eastAsia" w:ascii="宋体" w:hAnsi="宋体" w:eastAsia="宋体" w:cs="宋体"/>
              <w:sz w:val="24"/>
              <w:szCs w:val="24"/>
            </w:rPr>
            <w:t>六、典型案例分析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_Toc21071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4"/>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_Toc16047 </w:instrText>
          </w:r>
          <w:r>
            <w:rPr>
              <w:rFonts w:hint="eastAsia" w:ascii="宋体" w:hAnsi="宋体" w:eastAsia="宋体" w:cs="宋体"/>
              <w:sz w:val="24"/>
              <w:szCs w:val="24"/>
            </w:rPr>
            <w:fldChar w:fldCharType="separate"/>
          </w:r>
          <w:r>
            <w:rPr>
              <w:rFonts w:hint="eastAsia" w:ascii="宋体" w:hAnsi="宋体" w:eastAsia="宋体" w:cs="宋体"/>
              <w:sz w:val="24"/>
              <w:szCs w:val="24"/>
            </w:rPr>
            <w:t>七、结论与AI推荐算法赋能建议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_Toc16047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_Toc7383 </w:instrText>
          </w:r>
          <w:r>
            <w:rPr>
              <w:rFonts w:hint="eastAsia" w:ascii="宋体" w:hAnsi="宋体" w:eastAsia="宋体" w:cs="宋体"/>
              <w:sz w:val="24"/>
              <w:szCs w:val="24"/>
            </w:rPr>
            <w:fldChar w:fldCharType="separate"/>
          </w:r>
          <w:r>
            <w:rPr>
              <w:rFonts w:hint="eastAsia" w:ascii="宋体" w:hAnsi="宋体" w:eastAsia="宋体" w:cs="宋体"/>
              <w:sz w:val="24"/>
              <w:szCs w:val="24"/>
            </w:rPr>
            <w:t>（一）研究结论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_Toc7383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65"/>
            <w:tabs>
              <w:tab w:val="right" w:leader="dot" w:pos="8306"/>
            </w:tabs>
            <w:spacing w:line="360" w:lineRule="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_Toc22518 </w:instrText>
          </w:r>
          <w:r>
            <w:rPr>
              <w:rFonts w:hint="eastAsia" w:ascii="宋体" w:hAnsi="宋体" w:eastAsia="宋体" w:cs="宋体"/>
              <w:sz w:val="24"/>
              <w:szCs w:val="24"/>
            </w:rPr>
            <w:fldChar w:fldCharType="separate"/>
          </w:r>
          <w:r>
            <w:rPr>
              <w:rFonts w:hint="eastAsia" w:ascii="宋体" w:hAnsi="宋体" w:eastAsia="宋体" w:cs="宋体"/>
              <w:sz w:val="24"/>
              <w:szCs w:val="24"/>
            </w:rPr>
            <w:t>（二）AI推荐算法赋能文旅空间重构策略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_Toc22518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r>
            <w:fldChar w:fldCharType="end"/>
          </w:r>
        </w:p>
      </w:sdtContent>
    </w:sdt>
    <w:p>
      <w:pPr>
        <w:ind w:left="0" w:leftChars="0" w:firstLine="0" w:firstLineChars="0"/>
      </w:pPr>
      <w:r>
        <w:br w:type="page"/>
      </w:r>
    </w:p>
    <w:p>
      <w:pPr>
        <w:keepNext w:val="0"/>
        <w:keepLines w:val="0"/>
        <w:pageBreakBefore w:val="0"/>
        <w:widowControl/>
        <w:kinsoku/>
        <w:wordWrap/>
        <w:overflowPunct/>
        <w:topLinePunct w:val="0"/>
        <w:autoSpaceDE/>
        <w:autoSpaceDN/>
        <w:bidi w:val="0"/>
        <w:adjustRightInd/>
        <w:snapToGrid/>
        <w:spacing w:before="100" w:after="60"/>
        <w:ind w:firstLine="0"/>
        <w:jc w:val="center"/>
        <w:textAlignment w:val="auto"/>
        <w:outlineLvl w:val="0"/>
      </w:pPr>
      <w:bookmarkStart w:id="0" w:name="_Toc20192"/>
      <w:bookmarkStart w:id="1" w:name="_Toc8252"/>
      <w:r>
        <w:rPr>
          <w:rFonts w:ascii="宋体" w:hAnsi="宋体" w:eastAsia="宋体"/>
          <w:b/>
          <w:sz w:val="32"/>
        </w:rPr>
        <w:t>人工智能（推荐算法）赋能文旅空间重构</w:t>
      </w:r>
      <w:bookmarkEnd w:id="0"/>
      <w:bookmarkEnd w:id="1"/>
    </w:p>
    <w:p>
      <w:pPr>
        <w:keepNext w:val="0"/>
        <w:keepLines w:val="0"/>
        <w:pageBreakBefore w:val="0"/>
        <w:widowControl/>
        <w:kinsoku/>
        <w:wordWrap/>
        <w:overflowPunct/>
        <w:topLinePunct w:val="0"/>
        <w:autoSpaceDE/>
        <w:autoSpaceDN/>
        <w:bidi w:val="0"/>
        <w:adjustRightInd/>
        <w:snapToGrid/>
        <w:spacing w:after="100"/>
        <w:ind w:firstLine="0"/>
        <w:jc w:val="right"/>
        <w:textAlignment w:val="auto"/>
        <w:outlineLvl w:val="0"/>
      </w:pPr>
      <w:bookmarkStart w:id="2" w:name="_Toc20554"/>
      <w:bookmarkStart w:id="3" w:name="_Toc2722"/>
      <w:r>
        <w:rPr>
          <w:rFonts w:ascii="宋体" w:hAnsi="宋体" w:eastAsia="宋体"/>
          <w:b/>
          <w:sz w:val="28"/>
        </w:rPr>
        <w:t>—— 以贵州村超为例</w:t>
      </w:r>
      <w:bookmarkEnd w:id="2"/>
      <w:bookmarkEnd w:id="3"/>
    </w:p>
    <w:p>
      <w:pPr>
        <w:pStyle w:val="3"/>
      </w:pPr>
      <w:bookmarkStart w:id="4" w:name="_Toc4641"/>
      <w:r>
        <w:rPr>
          <w:rFonts w:ascii="宋体" w:hAnsi="宋体" w:eastAsia="宋体"/>
          <w:b/>
          <w:color w:val="000000"/>
        </w:rPr>
        <w:t>一、研究设计</w:t>
      </w:r>
      <w:bookmarkEnd w:id="4"/>
    </w:p>
    <w:p>
      <w:pPr>
        <w:pStyle w:val="4"/>
      </w:pPr>
      <w:bookmarkStart w:id="5" w:name="_Toc15811"/>
      <w:r>
        <w:rPr>
          <w:rFonts w:ascii="宋体" w:hAnsi="宋体" w:eastAsia="宋体"/>
          <w:b/>
          <w:color w:val="000000"/>
        </w:rPr>
        <w:t>（一）研究目的</w:t>
      </w:r>
      <w:bookmarkEnd w:id="5"/>
    </w:p>
    <w:p>
      <w:r>
        <w:rPr>
          <w:rFonts w:ascii="宋体" w:hAnsi="宋体" w:eastAsia="宋体"/>
          <w:b w:val="0"/>
          <w:sz w:val="24"/>
        </w:rPr>
        <w:t>围绕“贵州村超”这一现象级文旅IP，从平台流量（社媒侧客观内容供给）、受众需求（公众侧主观内容偏好）和内容供给（全网素材储备）三个维度展开系统分析，识别贵州村超相关内容在社媒平台上的流量分布特征与受众关注偏好之间的供需错位，通过IPA矩阵（Importance-Performance Analysis）精准定位各内容主题的优先级象限，提出人工智能推荐算法赋能文旅空间重构的精准策略，为贵州村超及相关文旅IP的数字化传播与算法推荐优化提供数据驱动的研究支撑。</w:t>
      </w:r>
    </w:p>
    <w:p>
      <w:pPr>
        <w:pStyle w:val="4"/>
      </w:pPr>
      <w:bookmarkStart w:id="6" w:name="_Toc29163"/>
      <w:r>
        <w:rPr>
          <w:rFonts w:ascii="宋体" w:hAnsi="宋体" w:eastAsia="宋体"/>
          <w:b/>
          <w:color w:val="000000"/>
        </w:rPr>
        <w:t>（二）研究思路与技术路线</w:t>
      </w:r>
      <w:bookmarkEnd w:id="6"/>
    </w:p>
    <w:p>
      <w:r>
        <w:rPr>
          <w:rFonts w:ascii="宋体" w:hAnsi="宋体" w:eastAsia="宋体"/>
          <w:b w:val="0"/>
          <w:sz w:val="24"/>
        </w:rPr>
        <w:t>本研究采用“三表</w:t>
      </w:r>
      <w:r>
        <w:rPr>
          <w:rFonts w:hint="eastAsia"/>
          <w:b w:val="0"/>
          <w:sz w:val="24"/>
          <w:lang w:val="en-US" w:eastAsia="zh-CN"/>
        </w:rPr>
        <w:t>一洞察</w:t>
      </w:r>
      <w:r>
        <w:rPr>
          <w:rFonts w:ascii="宋体" w:hAnsi="宋体" w:eastAsia="宋体"/>
          <w:b w:val="0"/>
          <w:sz w:val="24"/>
        </w:rPr>
        <w:t>”分析框架，整合平台流量、内容供给与受众需求三个维度的数据，形成“供给—流量—需求”的完整分析闭环，并引入IPA矩阵分析方法。具体技术路线如下：</w:t>
      </w:r>
    </w:p>
    <w:p>
      <w:pPr>
        <w:spacing w:line="360" w:lineRule="auto"/>
        <w:ind w:firstLine="480"/>
      </w:pPr>
      <w:r>
        <w:rPr>
          <w:rFonts w:ascii="宋体" w:hAnsi="宋体" w:eastAsia="宋体"/>
          <w:sz w:val="24"/>
        </w:rPr>
        <w:t>平台流量数据采集：通过两种方式获取——（1）8位调查用户手机截屏数据（105条），解析视频封面图、标题及点赞数；（2）抖音、小红书、视频号三平台以关键词"贵州村超"搜索爬取（210条）。合并去重后形成202条有效视频数据，按7个内容主题进行多标签分类。</w:t>
      </w:r>
    </w:p>
    <w:p>
      <w:pPr>
        <w:spacing w:line="360" w:lineRule="auto"/>
        <w:ind w:firstLine="480"/>
      </w:pPr>
      <w:r>
        <w:rPr>
          <w:rFonts w:ascii="宋体" w:hAnsi="宋体" w:eastAsia="宋体"/>
          <w:sz w:val="24"/>
        </w:rPr>
        <w:t>内容供给数据搜集：使用workbuddy工具对全网数据进行搜集整理，综合抖音官方大数据（130亿+话题播放、18.5万创作者、3万+直播场次）、腾讯数字舆情研究、榕江县融媒体官方报告、贵州省文旅厅公开数据等多源信息，对7个内容主题进行三平台热度评级与综合占比估算。</w:t>
      </w:r>
    </w:p>
    <w:p>
      <w:pPr>
        <w:spacing w:line="360" w:lineRule="auto"/>
        <w:ind w:firstLine="480"/>
      </w:pPr>
      <w:r>
        <w:rPr>
          <w:rFonts w:ascii="宋体" w:hAnsi="宋体" w:eastAsia="宋体"/>
          <w:sz w:val="24"/>
        </w:rPr>
        <w:t>受众需求问卷调查：8位受访者针对7个内容主题进行偏好选择（每人最多选3项），获取公众关注度分布。</w:t>
      </w:r>
    </w:p>
    <w:p>
      <w:pPr>
        <w:spacing w:line="360" w:lineRule="auto"/>
        <w:ind w:firstLine="480"/>
      </w:pPr>
      <w:r>
        <w:rPr>
          <w:rFonts w:hint="eastAsia" w:ascii="宋体" w:hAnsi="宋体" w:eastAsia="宋体"/>
          <w:color w:val="000000" w:themeColor="text1"/>
          <w:sz w:val="24"/>
          <w:szCs w:val="24"/>
          <w14:textFill>
            <w14:solidFill>
              <w14:schemeClr w14:val="tx1"/>
            </w14:solidFill>
          </w14:textFill>
        </w:rPr>
        <w:t>在上述数据基础上，完成流量内容解析，提取高流量、高点赞内容，拆解爆款特征与关键词。同时构建 “</w:t>
      </w:r>
      <w:r>
        <w:rPr>
          <w:rFonts w:hint="eastAsia"/>
          <w:color w:val="000000" w:themeColor="text1"/>
          <w:sz w:val="24"/>
          <w:szCs w:val="24"/>
          <w:lang w:val="en-US" w:eastAsia="zh-CN"/>
          <w14:textFill>
            <w14:solidFill>
              <w14:schemeClr w14:val="tx1"/>
            </w14:solidFill>
          </w14:textFill>
        </w:rPr>
        <w:t>供给-需求</w:t>
      </w:r>
      <w:r>
        <w:rPr>
          <w:rFonts w:hint="eastAsia" w:ascii="宋体" w:hAnsi="宋体" w:eastAsia="宋体"/>
          <w:color w:val="000000" w:themeColor="text1"/>
          <w:sz w:val="24"/>
          <w:szCs w:val="24"/>
          <w14:textFill>
            <w14:solidFill>
              <w14:schemeClr w14:val="tx1"/>
            </w14:solidFill>
          </w14:textFill>
        </w:rPr>
        <w:t>”四象限矩阵，划分内容主题选择优先级。最后基于上述分析形成AI 视频创作专项建议。</w:t>
      </w:r>
    </w:p>
    <w:p>
      <w:pPr>
        <w:pStyle w:val="3"/>
      </w:pPr>
      <w:bookmarkStart w:id="7" w:name="_Toc30714"/>
      <w:r>
        <w:rPr>
          <w:rFonts w:ascii="宋体" w:hAnsi="宋体" w:eastAsia="宋体"/>
          <w:b/>
          <w:color w:val="000000"/>
        </w:rPr>
        <w:t>二、平台流量分析</w:t>
      </w:r>
      <w:bookmarkEnd w:id="7"/>
    </w:p>
    <w:p>
      <w:pPr>
        <w:pStyle w:val="4"/>
      </w:pPr>
      <w:bookmarkStart w:id="8" w:name="_Toc26413"/>
      <w:r>
        <w:rPr>
          <w:rFonts w:ascii="宋体" w:hAnsi="宋体" w:eastAsia="宋体"/>
          <w:b/>
          <w:color w:val="000000"/>
        </w:rPr>
        <w:t>（一）数据来源与采集方式</w:t>
      </w:r>
      <w:bookmarkEnd w:id="8"/>
    </w:p>
    <w:p>
      <w:r>
        <w:rPr>
          <w:rFonts w:ascii="宋体" w:hAnsi="宋体" w:eastAsia="宋体"/>
          <w:b w:val="0"/>
          <w:sz w:val="24"/>
        </w:rPr>
        <w:t>平台流量数据来源于两种采集渠道。渠道一为8位调查用户手机社媒截屏数据（105条），经人工解析视频封面图、标题及点赞数后，以足球赛事集锦类内容为主（98条），覆盖村超核心赛事场景。渠道二为抖音、小红书、微信视频号三大平台以“贵州村超”为关键词的搜索结果爬取（210条），每条数据包含视频标题、字幕内容、点赞数、评论数、转发数等字段。两组数据合并去重后，获得202条有效视频数据。</w:t>
      </w:r>
    </w:p>
    <w:p>
      <w:r>
        <w:rPr>
          <w:rFonts w:ascii="宋体" w:hAnsi="宋体" w:eastAsia="宋体"/>
          <w:b w:val="0"/>
          <w:sz w:val="24"/>
        </w:rPr>
        <w:t>每条视频内容根据其核心信息被标注为一个或多个主题标签（多标签分类），共计产生285次主题提及。多标签设计反映了实际内容的复合性——例如一条展示“侗族大歌在村超赛场表演”的视频，同时属于“足球赛事集锦/精彩进球”和“本地民俗文化展示”两个主题。</w:t>
      </w:r>
    </w:p>
    <w:p>
      <w:pPr>
        <w:pStyle w:val="4"/>
      </w:pPr>
      <w:bookmarkStart w:id="9" w:name="_Toc6821"/>
      <w:r>
        <w:rPr>
          <w:rFonts w:ascii="宋体" w:hAnsi="宋体" w:eastAsia="宋体"/>
          <w:b/>
          <w:color w:val="000000"/>
        </w:rPr>
        <w:t>（二）七主题平台流量分布</w:t>
      </w:r>
      <w:bookmarkEnd w:id="9"/>
    </w:p>
    <w:p>
      <w:r>
        <w:rPr>
          <w:rFonts w:ascii="宋体" w:hAnsi="宋体" w:eastAsia="宋体"/>
          <w:b w:val="0"/>
          <w:sz w:val="24"/>
        </w:rPr>
        <w:t>在202条去重视频中，各内容主题的平台流量分布呈现显著的梯队分化特征。“足球赛事集锦/精彩进球”以98条（48.5%）的占比位居第一，构成了村超社媒内容的基本盘，印证了贵州村超作为足球赛事IP的核心属性。“本地民俗文化展示”以52条（25.7%）排名第二，体现了贵州丰富的民族文化资源在村超传播中的重要地位。“贵州村超联动”以40条（19.8%）排名第三。排名后三位的主题——“美食特产/文创产品”（2.5%）、“人文故事”（3.5%）和“乡村振兴/经济增收”（4.5%）——在平台流量中的占比合计仅约10%，表明这三类内容在当前社媒平台上存在显著的供给不足。</w:t>
      </w:r>
    </w:p>
    <w:p>
      <w:pPr>
        <w:spacing w:before="120" w:after="60" w:line="360" w:lineRule="auto"/>
        <w:ind w:firstLine="0"/>
        <w:jc w:val="center"/>
      </w:pPr>
      <w:r>
        <w:rPr>
          <w:rFonts w:ascii="宋体" w:hAnsi="宋体" w:eastAsia="宋体"/>
          <w:b/>
          <w:sz w:val="21"/>
        </w:rPr>
        <w:t>表1 贵州村超七主题平台流量分布（N=202，多标签）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2523"/>
        <w:gridCol w:w="1692"/>
        <w:gridCol w:w="11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847" w:type="dxa"/>
            <w:shd w:val="clear" w:color="auto" w:fill="DAE3F3"/>
            <w:vAlign w:val="center"/>
          </w:tcPr>
          <w:p>
            <w:pPr>
              <w:spacing w:before="0" w:after="0" w:line="240" w:lineRule="auto"/>
              <w:ind w:firstLine="0"/>
              <w:jc w:val="center"/>
            </w:pPr>
            <w:r>
              <w:rPr>
                <w:rFonts w:ascii="宋体" w:hAnsi="宋体" w:eastAsia="宋体"/>
                <w:b/>
                <w:sz w:val="21"/>
              </w:rPr>
              <w:t>排序</w:t>
            </w:r>
          </w:p>
        </w:tc>
        <w:tc>
          <w:tcPr>
            <w:tcW w:w="2523" w:type="dxa"/>
            <w:shd w:val="clear" w:color="auto" w:fill="DAE3F3"/>
            <w:vAlign w:val="center"/>
          </w:tcPr>
          <w:p>
            <w:pPr>
              <w:spacing w:before="0" w:after="0" w:line="240" w:lineRule="auto"/>
              <w:ind w:firstLine="0"/>
              <w:jc w:val="center"/>
            </w:pPr>
            <w:r>
              <w:rPr>
                <w:rFonts w:ascii="宋体" w:hAnsi="宋体" w:eastAsia="宋体"/>
                <w:b/>
                <w:sz w:val="21"/>
              </w:rPr>
              <w:t>内容主题</w:t>
            </w:r>
          </w:p>
        </w:tc>
        <w:tc>
          <w:tcPr>
            <w:tcW w:w="0" w:type="auto"/>
            <w:shd w:val="clear" w:color="auto" w:fill="DAE3F3"/>
            <w:vAlign w:val="center"/>
          </w:tcPr>
          <w:p>
            <w:pPr>
              <w:spacing w:before="0" w:after="0" w:line="240" w:lineRule="auto"/>
              <w:ind w:firstLine="0"/>
              <w:jc w:val="center"/>
            </w:pPr>
            <w:r>
              <w:rPr>
                <w:rFonts w:ascii="宋体" w:hAnsi="宋体" w:eastAsia="宋体"/>
                <w:b/>
                <w:sz w:val="21"/>
              </w:rPr>
              <w:t>视频数量（条）</w:t>
            </w:r>
          </w:p>
        </w:tc>
        <w:tc>
          <w:tcPr>
            <w:tcW w:w="0" w:type="auto"/>
            <w:shd w:val="clear" w:color="auto" w:fill="DAE3F3"/>
            <w:vAlign w:val="center"/>
          </w:tcPr>
          <w:p>
            <w:pPr>
              <w:spacing w:before="0" w:after="0" w:line="240" w:lineRule="auto"/>
              <w:ind w:firstLine="0"/>
              <w:jc w:val="center"/>
            </w:pPr>
            <w:r>
              <w:rPr>
                <w:rFonts w:ascii="宋体" w:hAnsi="宋体" w:eastAsia="宋体"/>
                <w:b/>
                <w:sz w:val="21"/>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847" w:type="dxa"/>
            <w:vAlign w:val="center"/>
          </w:tcPr>
          <w:p>
            <w:pPr>
              <w:spacing w:before="0" w:after="0" w:line="240" w:lineRule="auto"/>
              <w:ind w:firstLine="0"/>
              <w:jc w:val="center"/>
            </w:pPr>
            <w:r>
              <w:rPr>
                <w:rFonts w:ascii="宋体" w:hAnsi="宋体" w:eastAsia="宋体"/>
                <w:b w:val="0"/>
                <w:sz w:val="21"/>
              </w:rPr>
              <w:t>1</w:t>
            </w:r>
          </w:p>
        </w:tc>
        <w:tc>
          <w:tcPr>
            <w:tcW w:w="2523" w:type="dxa"/>
            <w:vAlign w:val="center"/>
          </w:tcPr>
          <w:p>
            <w:pPr>
              <w:spacing w:before="0" w:after="0" w:line="240" w:lineRule="auto"/>
              <w:ind w:firstLine="0"/>
              <w:jc w:val="center"/>
            </w:pPr>
            <w:r>
              <w:rPr>
                <w:rFonts w:ascii="宋体" w:hAnsi="宋体" w:eastAsia="宋体"/>
                <w:b w:val="0"/>
                <w:sz w:val="21"/>
              </w:rPr>
              <w:t>足球赛事集锦/精彩进球</w:t>
            </w:r>
          </w:p>
        </w:tc>
        <w:tc>
          <w:tcPr>
            <w:tcW w:w="0" w:type="auto"/>
            <w:vAlign w:val="center"/>
          </w:tcPr>
          <w:p>
            <w:pPr>
              <w:spacing w:before="0" w:after="0" w:line="240" w:lineRule="auto"/>
              <w:ind w:firstLine="0"/>
              <w:jc w:val="center"/>
            </w:pPr>
            <w:r>
              <w:rPr>
                <w:rFonts w:ascii="宋体" w:hAnsi="宋体" w:eastAsia="宋体"/>
                <w:b w:val="0"/>
                <w:sz w:val="21"/>
              </w:rPr>
              <w:t>98</w:t>
            </w:r>
          </w:p>
        </w:tc>
        <w:tc>
          <w:tcPr>
            <w:tcW w:w="0" w:type="auto"/>
            <w:vAlign w:val="center"/>
          </w:tcPr>
          <w:p>
            <w:pPr>
              <w:spacing w:before="0" w:after="0" w:line="240" w:lineRule="auto"/>
              <w:ind w:firstLine="0"/>
              <w:jc w:val="center"/>
            </w:pPr>
            <w:r>
              <w:rPr>
                <w:rFonts w:ascii="宋体" w:hAnsi="宋体" w:eastAsia="宋体"/>
                <w:b w:val="0"/>
                <w:sz w:val="21"/>
              </w:rPr>
              <w:t>48.5%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847" w:type="dxa"/>
            <w:vAlign w:val="center"/>
          </w:tcPr>
          <w:p>
            <w:pPr>
              <w:spacing w:before="0" w:after="0" w:line="240" w:lineRule="auto"/>
              <w:ind w:firstLine="0"/>
              <w:jc w:val="center"/>
            </w:pPr>
            <w:r>
              <w:rPr>
                <w:rFonts w:ascii="宋体" w:hAnsi="宋体" w:eastAsia="宋体"/>
                <w:b w:val="0"/>
                <w:sz w:val="21"/>
              </w:rPr>
              <w:t>2</w:t>
            </w:r>
          </w:p>
        </w:tc>
        <w:tc>
          <w:tcPr>
            <w:tcW w:w="2523" w:type="dxa"/>
            <w:vAlign w:val="center"/>
          </w:tcPr>
          <w:p>
            <w:pPr>
              <w:spacing w:before="0" w:after="0" w:line="240" w:lineRule="auto"/>
              <w:ind w:firstLine="0"/>
              <w:jc w:val="center"/>
            </w:pPr>
            <w:r>
              <w:rPr>
                <w:rFonts w:ascii="宋体" w:hAnsi="宋体" w:eastAsia="宋体"/>
                <w:b w:val="0"/>
                <w:sz w:val="21"/>
              </w:rPr>
              <w:t>本地民俗文化展示</w:t>
            </w:r>
          </w:p>
        </w:tc>
        <w:tc>
          <w:tcPr>
            <w:tcW w:w="0" w:type="auto"/>
            <w:vAlign w:val="center"/>
          </w:tcPr>
          <w:p>
            <w:pPr>
              <w:spacing w:before="0" w:after="0" w:line="240" w:lineRule="auto"/>
              <w:ind w:firstLine="0"/>
              <w:jc w:val="center"/>
            </w:pPr>
            <w:r>
              <w:rPr>
                <w:rFonts w:ascii="宋体" w:hAnsi="宋体" w:eastAsia="宋体"/>
                <w:b w:val="0"/>
                <w:sz w:val="21"/>
              </w:rPr>
              <w:t>52</w:t>
            </w:r>
          </w:p>
        </w:tc>
        <w:tc>
          <w:tcPr>
            <w:tcW w:w="0" w:type="auto"/>
            <w:vAlign w:val="center"/>
          </w:tcPr>
          <w:p>
            <w:pPr>
              <w:spacing w:before="0" w:after="0" w:line="240" w:lineRule="auto"/>
              <w:ind w:firstLine="0"/>
              <w:jc w:val="center"/>
            </w:pPr>
            <w:r>
              <w:rPr>
                <w:rFonts w:ascii="宋体" w:hAnsi="宋体" w:eastAsia="宋体"/>
                <w:b w:val="0"/>
                <w:sz w:val="21"/>
              </w:rPr>
              <w:t>25.7%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847" w:type="dxa"/>
            <w:vAlign w:val="center"/>
          </w:tcPr>
          <w:p>
            <w:pPr>
              <w:spacing w:before="0" w:after="0" w:line="240" w:lineRule="auto"/>
              <w:ind w:firstLine="0"/>
              <w:jc w:val="center"/>
            </w:pPr>
            <w:r>
              <w:rPr>
                <w:rFonts w:ascii="宋体" w:hAnsi="宋体" w:eastAsia="宋体"/>
                <w:b w:val="0"/>
                <w:sz w:val="21"/>
              </w:rPr>
              <w:t>3</w:t>
            </w:r>
          </w:p>
        </w:tc>
        <w:tc>
          <w:tcPr>
            <w:tcW w:w="2523" w:type="dxa"/>
            <w:vAlign w:val="center"/>
          </w:tcPr>
          <w:p>
            <w:pPr>
              <w:spacing w:before="0" w:after="0" w:line="240" w:lineRule="auto"/>
              <w:ind w:firstLine="0"/>
              <w:jc w:val="center"/>
            </w:pPr>
            <w:r>
              <w:rPr>
                <w:rFonts w:ascii="宋体" w:hAnsi="宋体" w:eastAsia="宋体"/>
                <w:b w:val="0"/>
                <w:sz w:val="21"/>
              </w:rPr>
              <w:t>贵州村超联动</w:t>
            </w:r>
          </w:p>
        </w:tc>
        <w:tc>
          <w:tcPr>
            <w:tcW w:w="0" w:type="auto"/>
            <w:vAlign w:val="center"/>
          </w:tcPr>
          <w:p>
            <w:pPr>
              <w:spacing w:before="0" w:after="0" w:line="240" w:lineRule="auto"/>
              <w:ind w:firstLine="0"/>
              <w:jc w:val="center"/>
            </w:pPr>
            <w:r>
              <w:rPr>
                <w:rFonts w:ascii="宋体" w:hAnsi="宋体" w:eastAsia="宋体"/>
                <w:b w:val="0"/>
                <w:sz w:val="21"/>
              </w:rPr>
              <w:t>40</w:t>
            </w:r>
          </w:p>
        </w:tc>
        <w:tc>
          <w:tcPr>
            <w:tcW w:w="0" w:type="auto"/>
            <w:vAlign w:val="center"/>
          </w:tcPr>
          <w:p>
            <w:pPr>
              <w:spacing w:before="0" w:after="0" w:line="240" w:lineRule="auto"/>
              <w:ind w:firstLine="0"/>
              <w:jc w:val="center"/>
            </w:pPr>
            <w:r>
              <w:rPr>
                <w:rFonts w:ascii="宋体" w:hAnsi="宋体" w:eastAsia="宋体"/>
                <w:b w:val="0"/>
                <w:sz w:val="21"/>
              </w:rPr>
              <w:t>19.8%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847" w:type="dxa"/>
            <w:vAlign w:val="center"/>
          </w:tcPr>
          <w:p>
            <w:pPr>
              <w:spacing w:before="0" w:after="0" w:line="240" w:lineRule="auto"/>
              <w:ind w:firstLine="0"/>
              <w:jc w:val="center"/>
            </w:pPr>
            <w:r>
              <w:rPr>
                <w:rFonts w:ascii="宋体" w:hAnsi="宋体" w:eastAsia="宋体"/>
                <w:b w:val="0"/>
                <w:sz w:val="21"/>
              </w:rPr>
              <w:t>4</w:t>
            </w:r>
          </w:p>
        </w:tc>
        <w:tc>
          <w:tcPr>
            <w:tcW w:w="2523" w:type="dxa"/>
            <w:vAlign w:val="center"/>
          </w:tcPr>
          <w:p>
            <w:pPr>
              <w:spacing w:before="0" w:after="0" w:line="240" w:lineRule="auto"/>
              <w:ind w:firstLine="0"/>
              <w:jc w:val="center"/>
            </w:pPr>
            <w:r>
              <w:rPr>
                <w:rFonts w:ascii="宋体" w:hAnsi="宋体" w:eastAsia="宋体"/>
                <w:b w:val="0"/>
                <w:sz w:val="21"/>
              </w:rPr>
              <w:t>现场气氛</w:t>
            </w:r>
          </w:p>
        </w:tc>
        <w:tc>
          <w:tcPr>
            <w:tcW w:w="0" w:type="auto"/>
            <w:vAlign w:val="center"/>
          </w:tcPr>
          <w:p>
            <w:pPr>
              <w:spacing w:before="0" w:after="0" w:line="240" w:lineRule="auto"/>
              <w:ind w:firstLine="0"/>
              <w:jc w:val="center"/>
            </w:pPr>
            <w:r>
              <w:rPr>
                <w:rFonts w:ascii="宋体" w:hAnsi="宋体" w:eastAsia="宋体"/>
                <w:b w:val="0"/>
                <w:sz w:val="21"/>
              </w:rPr>
              <w:t>30</w:t>
            </w:r>
          </w:p>
        </w:tc>
        <w:tc>
          <w:tcPr>
            <w:tcW w:w="0" w:type="auto"/>
            <w:vAlign w:val="center"/>
          </w:tcPr>
          <w:p>
            <w:pPr>
              <w:spacing w:before="0" w:after="0" w:line="240" w:lineRule="auto"/>
              <w:ind w:firstLine="0"/>
              <w:jc w:val="center"/>
            </w:pPr>
            <w:r>
              <w:rPr>
                <w:rFonts w:ascii="宋体" w:hAnsi="宋体" w:eastAsia="宋体"/>
                <w:b w:val="0"/>
                <w:sz w:val="21"/>
              </w:rPr>
              <w:t>14.9%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847" w:type="dxa"/>
            <w:vAlign w:val="center"/>
          </w:tcPr>
          <w:p>
            <w:pPr>
              <w:spacing w:before="0" w:after="0" w:line="240" w:lineRule="auto"/>
              <w:ind w:firstLine="0"/>
              <w:jc w:val="center"/>
            </w:pPr>
            <w:r>
              <w:rPr>
                <w:rFonts w:ascii="宋体" w:hAnsi="宋体" w:eastAsia="宋体"/>
                <w:b w:val="0"/>
                <w:sz w:val="21"/>
              </w:rPr>
              <w:t>5</w:t>
            </w:r>
          </w:p>
        </w:tc>
        <w:tc>
          <w:tcPr>
            <w:tcW w:w="2523" w:type="dxa"/>
            <w:vAlign w:val="center"/>
          </w:tcPr>
          <w:p>
            <w:pPr>
              <w:spacing w:before="0" w:after="0" w:line="240" w:lineRule="auto"/>
              <w:ind w:firstLine="0"/>
              <w:jc w:val="center"/>
            </w:pPr>
            <w:r>
              <w:rPr>
                <w:rFonts w:ascii="宋体" w:hAnsi="宋体" w:eastAsia="宋体"/>
                <w:b w:val="0"/>
                <w:sz w:val="21"/>
              </w:rPr>
              <w:t>乡村振兴/经济增收</w:t>
            </w:r>
          </w:p>
        </w:tc>
        <w:tc>
          <w:tcPr>
            <w:tcW w:w="0" w:type="auto"/>
            <w:vAlign w:val="center"/>
          </w:tcPr>
          <w:p>
            <w:pPr>
              <w:spacing w:before="0" w:after="0" w:line="240" w:lineRule="auto"/>
              <w:ind w:firstLine="0"/>
              <w:jc w:val="center"/>
            </w:pPr>
            <w:r>
              <w:rPr>
                <w:rFonts w:ascii="宋体" w:hAnsi="宋体" w:eastAsia="宋体"/>
                <w:b w:val="0"/>
                <w:sz w:val="21"/>
              </w:rPr>
              <w:t>9</w:t>
            </w:r>
          </w:p>
        </w:tc>
        <w:tc>
          <w:tcPr>
            <w:tcW w:w="0" w:type="auto"/>
            <w:vAlign w:val="center"/>
          </w:tcPr>
          <w:p>
            <w:pPr>
              <w:spacing w:before="0" w:after="0" w:line="240" w:lineRule="auto"/>
              <w:ind w:firstLine="0"/>
              <w:jc w:val="center"/>
            </w:pPr>
            <w:r>
              <w:rPr>
                <w:rFonts w:ascii="宋体" w:hAnsi="宋体" w:eastAsia="宋体"/>
                <w:b w:val="0"/>
                <w:sz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847" w:type="dxa"/>
            <w:vAlign w:val="center"/>
          </w:tcPr>
          <w:p>
            <w:pPr>
              <w:spacing w:before="0" w:after="0" w:line="240" w:lineRule="auto"/>
              <w:ind w:firstLine="0"/>
              <w:jc w:val="center"/>
            </w:pPr>
            <w:r>
              <w:rPr>
                <w:rFonts w:ascii="宋体" w:hAnsi="宋体" w:eastAsia="宋体"/>
                <w:b w:val="0"/>
                <w:sz w:val="21"/>
              </w:rPr>
              <w:t>6</w:t>
            </w:r>
          </w:p>
        </w:tc>
        <w:tc>
          <w:tcPr>
            <w:tcW w:w="2523" w:type="dxa"/>
            <w:vAlign w:val="center"/>
          </w:tcPr>
          <w:p>
            <w:pPr>
              <w:spacing w:before="0" w:after="0" w:line="240" w:lineRule="auto"/>
              <w:ind w:firstLine="0"/>
              <w:jc w:val="center"/>
            </w:pPr>
            <w:r>
              <w:rPr>
                <w:rFonts w:ascii="宋体" w:hAnsi="宋体" w:eastAsia="宋体"/>
                <w:b w:val="0"/>
                <w:sz w:val="21"/>
              </w:rPr>
              <w:t>人文故事</w:t>
            </w:r>
          </w:p>
        </w:tc>
        <w:tc>
          <w:tcPr>
            <w:tcW w:w="0" w:type="auto"/>
            <w:vAlign w:val="center"/>
          </w:tcPr>
          <w:p>
            <w:pPr>
              <w:spacing w:before="0" w:after="0" w:line="240" w:lineRule="auto"/>
              <w:ind w:firstLine="0"/>
              <w:jc w:val="center"/>
            </w:pPr>
            <w:r>
              <w:rPr>
                <w:rFonts w:ascii="宋体" w:hAnsi="宋体" w:eastAsia="宋体"/>
                <w:b w:val="0"/>
                <w:sz w:val="21"/>
              </w:rPr>
              <w:t>7</w:t>
            </w:r>
          </w:p>
        </w:tc>
        <w:tc>
          <w:tcPr>
            <w:tcW w:w="0" w:type="auto"/>
            <w:vAlign w:val="center"/>
          </w:tcPr>
          <w:p>
            <w:pPr>
              <w:spacing w:before="0" w:after="0" w:line="240" w:lineRule="auto"/>
              <w:ind w:firstLine="0"/>
              <w:jc w:val="center"/>
            </w:pPr>
            <w:r>
              <w:rPr>
                <w:rFonts w:ascii="宋体" w:hAnsi="宋体" w:eastAsia="宋体"/>
                <w:b w:val="0"/>
                <w:sz w:val="21"/>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847" w:type="dxa"/>
            <w:vAlign w:val="center"/>
          </w:tcPr>
          <w:p>
            <w:pPr>
              <w:spacing w:before="0" w:after="0" w:line="240" w:lineRule="auto"/>
              <w:ind w:firstLine="0"/>
              <w:jc w:val="center"/>
            </w:pPr>
            <w:r>
              <w:rPr>
                <w:rFonts w:ascii="宋体" w:hAnsi="宋体" w:eastAsia="宋体"/>
                <w:b w:val="0"/>
                <w:sz w:val="21"/>
              </w:rPr>
              <w:t>7</w:t>
            </w:r>
          </w:p>
        </w:tc>
        <w:tc>
          <w:tcPr>
            <w:tcW w:w="2523" w:type="dxa"/>
            <w:vAlign w:val="center"/>
          </w:tcPr>
          <w:p>
            <w:pPr>
              <w:spacing w:before="0" w:after="0" w:line="240" w:lineRule="auto"/>
              <w:ind w:firstLine="0"/>
              <w:jc w:val="center"/>
            </w:pPr>
            <w:r>
              <w:rPr>
                <w:rFonts w:ascii="宋体" w:hAnsi="宋体" w:eastAsia="宋体"/>
                <w:b w:val="0"/>
                <w:sz w:val="21"/>
              </w:rPr>
              <w:t>美食特产/文创产品</w:t>
            </w:r>
          </w:p>
        </w:tc>
        <w:tc>
          <w:tcPr>
            <w:tcW w:w="0" w:type="auto"/>
            <w:vAlign w:val="center"/>
          </w:tcPr>
          <w:p>
            <w:pPr>
              <w:spacing w:before="0" w:after="0" w:line="240" w:lineRule="auto"/>
              <w:ind w:firstLine="0"/>
              <w:jc w:val="center"/>
            </w:pPr>
            <w:r>
              <w:rPr>
                <w:rFonts w:ascii="宋体" w:hAnsi="宋体" w:eastAsia="宋体"/>
                <w:b w:val="0"/>
                <w:sz w:val="21"/>
              </w:rPr>
              <w:t>5</w:t>
            </w:r>
          </w:p>
        </w:tc>
        <w:tc>
          <w:tcPr>
            <w:tcW w:w="0" w:type="auto"/>
            <w:vAlign w:val="center"/>
          </w:tcPr>
          <w:p>
            <w:pPr>
              <w:spacing w:before="0" w:after="0" w:line="240" w:lineRule="auto"/>
              <w:ind w:firstLine="0"/>
              <w:jc w:val="center"/>
            </w:pPr>
            <w:r>
              <w:rPr>
                <w:rFonts w:ascii="宋体" w:hAnsi="宋体" w:eastAsia="宋体"/>
                <w:b w:val="0"/>
                <w:sz w:val="21"/>
              </w:rPr>
              <w:t>2.5%</w:t>
            </w:r>
          </w:p>
        </w:tc>
      </w:tr>
    </w:tbl>
    <w:p>
      <w:pPr>
        <w:spacing w:line="240" w:lineRule="auto"/>
        <w:ind w:left="0" w:leftChars="0" w:firstLine="0" w:firstLineChars="0"/>
        <w:rPr>
          <w:sz w:val="18"/>
          <w:szCs w:val="16"/>
        </w:rPr>
      </w:pPr>
      <w:r>
        <w:rPr>
          <w:rFonts w:ascii="宋体" w:hAnsi="宋体" w:eastAsia="宋体"/>
          <w:b w:val="0"/>
          <w:sz w:val="18"/>
          <w:szCs w:val="16"/>
        </w:rPr>
        <w:t>注：平台流量数据为多标签分类（一条视频可同时属于多个内容主题），因此各主题占比之和超过100%。数据来源为8位调查用户截屏（105条）与抖音/小红书/视频号三平台爬取（210条）的合并去重结果。</w:t>
      </w:r>
    </w:p>
    <w:p>
      <w:pPr>
        <w:bidi w:val="0"/>
        <w:ind w:left="0" w:leftChars="0" w:firstLine="0" w:firstLineChars="0"/>
        <w:jc w:val="center"/>
      </w:pPr>
      <w:bookmarkStart w:id="10" w:name="_Toc11640"/>
      <w:bookmarkStart w:id="11" w:name="_Toc3947"/>
      <w:r>
        <w:drawing>
          <wp:inline distT="0" distB="0" distL="114300" distR="114300">
            <wp:extent cx="5041900" cy="2743200"/>
            <wp:effectExtent l="4445" t="4445" r="8255" b="8255"/>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pStyle w:val="15"/>
        <w:ind w:left="0" w:leftChars="0" w:firstLine="0" w:firstLineChars="0"/>
        <w:jc w:val="center"/>
        <w:rPr>
          <w:rFonts w:hint="eastAsia" w:ascii="宋体" w:hAnsi="宋体" w:eastAsia="宋体" w:cstheme="minorBidi"/>
          <w:b/>
          <w:bCs w:val="0"/>
          <w:color w:val="000000"/>
          <w:sz w:val="21"/>
          <w:szCs w:val="22"/>
          <w:lang w:val="en-US" w:eastAsia="zh-CN" w:bidi="ar-SA"/>
        </w:rPr>
      </w:pPr>
      <w:r>
        <w:rPr>
          <w:rFonts w:ascii="宋体" w:hAnsi="宋体" w:eastAsia="宋体" w:cstheme="minorBidi"/>
          <w:b/>
          <w:bCs w:val="0"/>
          <w:color w:val="000000"/>
          <w:sz w:val="21"/>
          <w:szCs w:val="22"/>
          <w:lang w:val="en-US" w:eastAsia="en-US" w:bidi="ar-SA"/>
        </w:rPr>
        <w:t xml:space="preserve">图 </w:t>
      </w:r>
      <w:r>
        <w:rPr>
          <w:rFonts w:ascii="宋体" w:hAnsi="宋体" w:eastAsia="宋体" w:cstheme="minorBidi"/>
          <w:b/>
          <w:bCs w:val="0"/>
          <w:color w:val="000000"/>
          <w:sz w:val="21"/>
          <w:szCs w:val="22"/>
          <w:lang w:val="en-US" w:eastAsia="en-US" w:bidi="ar-SA"/>
        </w:rPr>
        <w:fldChar w:fldCharType="begin"/>
      </w:r>
      <w:r>
        <w:rPr>
          <w:rFonts w:ascii="宋体" w:hAnsi="宋体" w:eastAsia="宋体" w:cstheme="minorBidi"/>
          <w:b/>
          <w:bCs w:val="0"/>
          <w:color w:val="000000"/>
          <w:sz w:val="21"/>
          <w:szCs w:val="22"/>
          <w:lang w:val="en-US" w:eastAsia="en-US" w:bidi="ar-SA"/>
        </w:rPr>
        <w:instrText xml:space="preserve"> SEQ 图 \* ARABIC </w:instrText>
      </w:r>
      <w:r>
        <w:rPr>
          <w:rFonts w:ascii="宋体" w:hAnsi="宋体" w:eastAsia="宋体" w:cstheme="minorBidi"/>
          <w:b/>
          <w:bCs w:val="0"/>
          <w:color w:val="000000"/>
          <w:sz w:val="21"/>
          <w:szCs w:val="22"/>
          <w:lang w:val="en-US" w:eastAsia="en-US" w:bidi="ar-SA"/>
        </w:rPr>
        <w:fldChar w:fldCharType="separate"/>
      </w:r>
      <w:r>
        <w:rPr>
          <w:rFonts w:ascii="宋体" w:hAnsi="宋体" w:eastAsia="宋体" w:cstheme="minorBidi"/>
          <w:b/>
          <w:bCs w:val="0"/>
          <w:color w:val="000000"/>
          <w:sz w:val="21"/>
          <w:szCs w:val="22"/>
          <w:lang w:val="en-US" w:eastAsia="en-US" w:bidi="ar-SA"/>
        </w:rPr>
        <w:t>1</w:t>
      </w:r>
      <w:r>
        <w:rPr>
          <w:rFonts w:ascii="宋体" w:hAnsi="宋体" w:eastAsia="宋体" w:cstheme="minorBidi"/>
          <w:b/>
          <w:bCs w:val="0"/>
          <w:color w:val="000000"/>
          <w:sz w:val="21"/>
          <w:szCs w:val="22"/>
          <w:lang w:val="en-US" w:eastAsia="en-US" w:bidi="ar-SA"/>
        </w:rPr>
        <w:fldChar w:fldCharType="end"/>
      </w:r>
      <w:r>
        <w:rPr>
          <w:rFonts w:hint="eastAsia" w:ascii="宋体" w:hAnsi="宋体" w:eastAsia="宋体" w:cstheme="minorBidi"/>
          <w:b/>
          <w:bCs w:val="0"/>
          <w:color w:val="000000"/>
          <w:sz w:val="21"/>
          <w:szCs w:val="22"/>
          <w:lang w:val="en-US" w:eastAsia="zh-CN" w:bidi="ar-SA"/>
        </w:rPr>
        <w:t xml:space="preserve"> </w:t>
      </w:r>
      <w:r>
        <w:rPr>
          <w:rFonts w:ascii="宋体" w:hAnsi="宋体" w:eastAsia="宋体" w:cstheme="minorBidi"/>
          <w:b/>
          <w:bCs w:val="0"/>
          <w:color w:val="000000"/>
          <w:sz w:val="21"/>
          <w:szCs w:val="22"/>
          <w:lang w:val="en-US" w:eastAsia="en-US" w:bidi="ar-SA"/>
        </w:rPr>
        <w:t>贵州村超七主题平台流量分布</w:t>
      </w:r>
    </w:p>
    <w:p>
      <w:pPr>
        <w:pStyle w:val="4"/>
      </w:pPr>
      <w:r>
        <w:rPr>
          <w:rFonts w:ascii="宋体" w:hAnsi="宋体" w:eastAsia="宋体"/>
          <w:b/>
          <w:color w:val="000000"/>
        </w:rPr>
        <w:t>（</w:t>
      </w:r>
      <w:r>
        <w:rPr>
          <w:rFonts w:hint="eastAsia" w:ascii="宋体" w:hAnsi="宋体" w:eastAsia="宋体"/>
          <w:b/>
          <w:color w:val="000000"/>
          <w:lang w:val="en-US" w:eastAsia="zh-CN"/>
        </w:rPr>
        <w:t>三</w:t>
      </w:r>
      <w:r>
        <w:rPr>
          <w:rFonts w:ascii="宋体" w:hAnsi="宋体" w:eastAsia="宋体"/>
          <w:b/>
          <w:color w:val="000000"/>
        </w:rPr>
        <w:t>）平台流量特征小结</w:t>
      </w:r>
      <w:bookmarkEnd w:id="10"/>
    </w:p>
    <w:p>
      <w:r>
        <w:rPr>
          <w:rFonts w:ascii="宋体" w:hAnsi="宋体" w:eastAsia="宋体"/>
          <w:b w:val="0"/>
          <w:sz w:val="24"/>
        </w:rPr>
        <w:t>平台流量分析揭示了贵州村超社媒内容的三个结构性特征。其一，流量集中度高——排名前三的主题（足球赛事、民俗文化、赛事联动）合计占比94.0%，构成了平台流量的绝对主体，而后四位主题合计仅占15.0%，内容生态呈现“头重脚轻”的格局。其二，内容类型偏向赛事驱动——足球赛事集锦类内容的占比（48.5%）远超其他主题，平台算法推荐的流量分配存在显著的“赛事中心化”倾向。其三，美食特产和人文故事类内容的平台声量严重不足——两者的占比分别为2.5%和3.5%，但这些主题恰好是后续受众需求分析中关注度最高的领域，预示着供需错位的存在。</w:t>
      </w:r>
    </w:p>
    <w:p>
      <w:pPr>
        <w:pStyle w:val="3"/>
      </w:pPr>
      <w:bookmarkStart w:id="12" w:name="_Toc7164"/>
      <w:r>
        <w:rPr>
          <w:rFonts w:ascii="宋体" w:hAnsi="宋体" w:eastAsia="宋体"/>
          <w:b/>
          <w:color w:val="000000"/>
        </w:rPr>
        <w:t>三、受众需求分析</w:t>
      </w:r>
      <w:bookmarkEnd w:id="12"/>
    </w:p>
    <w:p>
      <w:pPr>
        <w:pStyle w:val="4"/>
      </w:pPr>
      <w:r>
        <w:rPr>
          <w:rFonts w:ascii="宋体" w:hAnsi="宋体" w:eastAsia="宋体"/>
          <w:b/>
          <w:color w:val="000000"/>
        </w:rPr>
        <w:t>（一）调查设计与数据采集</w:t>
      </w:r>
      <w:bookmarkEnd w:id="11"/>
    </w:p>
    <w:p>
      <w:r>
        <w:rPr>
          <w:rFonts w:ascii="宋体" w:hAnsi="宋体" w:eastAsia="宋体"/>
          <w:b w:val="0"/>
          <w:sz w:val="24"/>
        </w:rPr>
        <w:t>受众需求数据来源于8位受访者的问卷调查。调查题目为“提到贵州村超，您最关注以下哪些方面？选择最感兴趣的3项”，备选项为7个内容主题。受访者从7个主题中最多选择3项，以多选题方式统计各主题的选择人次和占比（占比 = 选择该主题的人数 / 总受访人数8人），以此反映公众对各内容主题的主观关注程度。</w:t>
      </w:r>
    </w:p>
    <w:p>
      <w:pPr>
        <w:pStyle w:val="4"/>
      </w:pPr>
      <w:bookmarkStart w:id="13" w:name="_Toc7260"/>
      <w:r>
        <w:rPr>
          <w:rFonts w:ascii="宋体" w:hAnsi="宋体" w:eastAsia="宋体"/>
          <w:b/>
          <w:color w:val="000000"/>
        </w:rPr>
        <w:t>（二）七主题受众需求分布</w:t>
      </w:r>
      <w:bookmarkEnd w:id="13"/>
    </w:p>
    <w:p>
      <w:r>
        <w:rPr>
          <w:rFonts w:ascii="宋体" w:hAnsi="宋体" w:eastAsia="宋体"/>
          <w:b w:val="0"/>
          <w:sz w:val="24"/>
        </w:rPr>
        <w:t>受众需求分布呈现明显的“文化+美食”双核心特征。“本地民俗文化展示”与“美食特产/文创产品”以62.5%的高关注度并列第一，表明受众对贵州独特的民族文化体验和地方特色美食具有最强烈的兴趣。“现场气氛”以50.0%的关注度排名第三，说明村超赛场的沉浸式体验和观众互动也是受众关注的重点。</w:t>
      </w:r>
    </w:p>
    <w:p>
      <w:r>
        <w:rPr>
          <w:rFonts w:ascii="宋体" w:hAnsi="宋体" w:eastAsia="宋体"/>
          <w:b w:val="0"/>
          <w:sz w:val="24"/>
        </w:rPr>
        <w:t>值得关注的是，“足球赛事集锦/精彩进球”仅以37.5%的关注度排名第四，与平台流量中该主题占比48.5%形成鲜明反差——受众对纯赛事内容的兴趣，不如对文化体验、美食品鉴和现场氛围类内容的兴趣浓厚。“人文故事”以12.5%的关注度排名末位，是所有主题中受众主动关注度最低的类别。</w:t>
      </w:r>
    </w:p>
    <w:p>
      <w:pPr>
        <w:spacing w:before="120" w:after="60" w:line="360" w:lineRule="auto"/>
        <w:ind w:firstLine="0"/>
        <w:jc w:val="center"/>
      </w:pPr>
      <w:r>
        <w:rPr>
          <w:rFonts w:ascii="宋体" w:hAnsi="宋体" w:eastAsia="宋体"/>
          <w:b/>
          <w:sz w:val="21"/>
        </w:rPr>
        <w:t>表2 贵州村超七主题受众需求分布（N=8，每人最多选3项）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2"/>
        <w:gridCol w:w="1900"/>
        <w:gridCol w:w="1885"/>
        <w:gridCol w:w="2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DAE3F3"/>
            <w:vAlign w:val="center"/>
          </w:tcPr>
          <w:p>
            <w:pPr>
              <w:spacing w:before="0" w:after="0" w:line="240" w:lineRule="auto"/>
              <w:ind w:firstLine="0"/>
              <w:jc w:val="center"/>
            </w:pPr>
            <w:r>
              <w:rPr>
                <w:rFonts w:ascii="宋体" w:hAnsi="宋体" w:eastAsia="宋体"/>
                <w:b/>
                <w:sz w:val="21"/>
              </w:rPr>
              <w:t>内容主题</w:t>
            </w:r>
          </w:p>
        </w:tc>
        <w:tc>
          <w:tcPr>
            <w:tcW w:w="2076" w:type="dxa"/>
            <w:shd w:val="clear" w:color="auto" w:fill="DAE3F3"/>
            <w:vAlign w:val="center"/>
          </w:tcPr>
          <w:p>
            <w:pPr>
              <w:spacing w:before="0" w:after="0" w:line="240" w:lineRule="auto"/>
              <w:ind w:firstLine="0"/>
              <w:jc w:val="center"/>
            </w:pPr>
            <w:r>
              <w:rPr>
                <w:rFonts w:ascii="宋体" w:hAnsi="宋体" w:eastAsia="宋体"/>
                <w:b/>
                <w:sz w:val="21"/>
              </w:rPr>
              <w:t>选择人数（人）</w:t>
            </w:r>
          </w:p>
        </w:tc>
        <w:tc>
          <w:tcPr>
            <w:tcW w:w="2076" w:type="dxa"/>
            <w:shd w:val="clear" w:color="auto" w:fill="DAE3F3"/>
            <w:vAlign w:val="center"/>
          </w:tcPr>
          <w:p>
            <w:pPr>
              <w:spacing w:before="0" w:after="0" w:line="240" w:lineRule="auto"/>
              <w:ind w:firstLine="0"/>
              <w:jc w:val="center"/>
            </w:pPr>
            <w:r>
              <w:rPr>
                <w:rFonts w:ascii="宋体" w:hAnsi="宋体" w:eastAsia="宋体"/>
                <w:b/>
                <w:sz w:val="21"/>
              </w:rPr>
              <w:t>占比（%）</w:t>
            </w:r>
          </w:p>
        </w:tc>
        <w:tc>
          <w:tcPr>
            <w:tcW w:w="2268" w:type="dxa"/>
            <w:shd w:val="clear" w:color="auto" w:fill="DAE3F3"/>
            <w:vAlign w:val="center"/>
          </w:tcPr>
          <w:p>
            <w:pPr>
              <w:spacing w:before="0" w:after="0" w:line="240" w:lineRule="auto"/>
              <w:ind w:firstLine="0"/>
              <w:jc w:val="center"/>
            </w:pPr>
            <w:r>
              <w:rPr>
                <w:rFonts w:ascii="宋体" w:hAnsi="宋体" w:eastAsia="宋体"/>
                <w:b/>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vAlign w:val="center"/>
          </w:tcPr>
          <w:p>
            <w:pPr>
              <w:spacing w:before="0" w:after="0" w:line="240" w:lineRule="auto"/>
              <w:ind w:firstLine="0"/>
              <w:jc w:val="center"/>
            </w:pPr>
            <w:r>
              <w:rPr>
                <w:rFonts w:ascii="宋体" w:hAnsi="宋体" w:eastAsia="宋体"/>
                <w:b w:val="0"/>
                <w:sz w:val="21"/>
              </w:rPr>
              <w:t>本地民俗文化展示</w:t>
            </w:r>
          </w:p>
        </w:tc>
        <w:tc>
          <w:tcPr>
            <w:tcW w:w="2076" w:type="dxa"/>
            <w:vAlign w:val="center"/>
          </w:tcPr>
          <w:p>
            <w:pPr>
              <w:spacing w:before="0" w:after="0" w:line="240" w:lineRule="auto"/>
              <w:ind w:firstLine="0"/>
              <w:jc w:val="center"/>
            </w:pPr>
            <w:r>
              <w:rPr>
                <w:rFonts w:ascii="宋体" w:hAnsi="宋体" w:eastAsia="宋体"/>
                <w:b w:val="0"/>
                <w:sz w:val="21"/>
              </w:rPr>
              <w:t>5</w:t>
            </w:r>
          </w:p>
        </w:tc>
        <w:tc>
          <w:tcPr>
            <w:tcW w:w="2076" w:type="dxa"/>
            <w:vAlign w:val="center"/>
          </w:tcPr>
          <w:p>
            <w:pPr>
              <w:spacing w:before="0" w:after="0" w:line="240" w:lineRule="auto"/>
              <w:ind w:firstLine="0"/>
              <w:jc w:val="center"/>
            </w:pPr>
            <w:r>
              <w:rPr>
                <w:rFonts w:ascii="宋体" w:hAnsi="宋体" w:eastAsia="宋体"/>
                <w:b w:val="0"/>
                <w:sz w:val="21"/>
              </w:rPr>
              <w:t>62.5%</w:t>
            </w:r>
          </w:p>
        </w:tc>
        <w:tc>
          <w:tcPr>
            <w:tcW w:w="2268" w:type="dxa"/>
            <w:vAlign w:val="center"/>
          </w:tcPr>
          <w:p>
            <w:pPr>
              <w:spacing w:before="0" w:after="0" w:line="240" w:lineRule="auto"/>
              <w:ind w:firstLine="0"/>
              <w:jc w:val="center"/>
            </w:pPr>
            <w:r>
              <w:rPr>
                <w:rFonts w:ascii="宋体" w:hAnsi="宋体" w:eastAsia="宋体"/>
                <w:b w:val="0"/>
                <w:sz w:val="21"/>
              </w:rPr>
              <w:t>8人中5人选择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vAlign w:val="center"/>
          </w:tcPr>
          <w:p>
            <w:pPr>
              <w:spacing w:before="0" w:after="0" w:line="240" w:lineRule="auto"/>
              <w:ind w:firstLine="0"/>
              <w:jc w:val="center"/>
            </w:pPr>
            <w:r>
              <w:rPr>
                <w:rFonts w:ascii="宋体" w:hAnsi="宋体" w:eastAsia="宋体"/>
                <w:b w:val="0"/>
                <w:sz w:val="21"/>
              </w:rPr>
              <w:t>美食特产/文创产品</w:t>
            </w:r>
          </w:p>
        </w:tc>
        <w:tc>
          <w:tcPr>
            <w:tcW w:w="2076" w:type="dxa"/>
            <w:vAlign w:val="center"/>
          </w:tcPr>
          <w:p>
            <w:pPr>
              <w:spacing w:before="0" w:after="0" w:line="240" w:lineRule="auto"/>
              <w:ind w:firstLine="0"/>
              <w:jc w:val="center"/>
            </w:pPr>
            <w:r>
              <w:rPr>
                <w:rFonts w:ascii="宋体" w:hAnsi="宋体" w:eastAsia="宋体"/>
                <w:b w:val="0"/>
                <w:sz w:val="21"/>
              </w:rPr>
              <w:t>5</w:t>
            </w:r>
          </w:p>
        </w:tc>
        <w:tc>
          <w:tcPr>
            <w:tcW w:w="2076" w:type="dxa"/>
            <w:vAlign w:val="center"/>
          </w:tcPr>
          <w:p>
            <w:pPr>
              <w:spacing w:before="0" w:after="0" w:line="240" w:lineRule="auto"/>
              <w:ind w:firstLine="0"/>
              <w:jc w:val="center"/>
            </w:pPr>
            <w:r>
              <w:rPr>
                <w:rFonts w:ascii="宋体" w:hAnsi="宋体" w:eastAsia="宋体"/>
                <w:b w:val="0"/>
                <w:sz w:val="21"/>
              </w:rPr>
              <w:t>62.5%</w:t>
            </w:r>
          </w:p>
        </w:tc>
        <w:tc>
          <w:tcPr>
            <w:tcW w:w="2268" w:type="dxa"/>
            <w:vAlign w:val="center"/>
          </w:tcPr>
          <w:p>
            <w:pPr>
              <w:spacing w:before="0" w:after="0" w:line="240" w:lineRule="auto"/>
              <w:ind w:firstLine="0"/>
              <w:jc w:val="center"/>
            </w:pPr>
            <w:r>
              <w:rPr>
                <w:rFonts w:ascii="宋体" w:hAnsi="宋体" w:eastAsia="宋体"/>
                <w:b w:val="0"/>
                <w:sz w:val="21"/>
              </w:rPr>
              <w:t>8人中5人选择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vAlign w:val="center"/>
          </w:tcPr>
          <w:p>
            <w:pPr>
              <w:spacing w:before="0" w:after="0" w:line="240" w:lineRule="auto"/>
              <w:ind w:firstLine="0"/>
              <w:jc w:val="center"/>
            </w:pPr>
            <w:r>
              <w:rPr>
                <w:rFonts w:ascii="宋体" w:hAnsi="宋体" w:eastAsia="宋体"/>
                <w:b w:val="0"/>
                <w:sz w:val="21"/>
              </w:rPr>
              <w:t>现场气氛</w:t>
            </w:r>
          </w:p>
        </w:tc>
        <w:tc>
          <w:tcPr>
            <w:tcW w:w="2076" w:type="dxa"/>
            <w:vAlign w:val="center"/>
          </w:tcPr>
          <w:p>
            <w:pPr>
              <w:spacing w:before="0" w:after="0" w:line="240" w:lineRule="auto"/>
              <w:ind w:firstLine="0"/>
              <w:jc w:val="center"/>
            </w:pPr>
            <w:r>
              <w:rPr>
                <w:rFonts w:ascii="宋体" w:hAnsi="宋体" w:eastAsia="宋体"/>
                <w:b w:val="0"/>
                <w:sz w:val="21"/>
              </w:rPr>
              <w:t>4</w:t>
            </w:r>
          </w:p>
        </w:tc>
        <w:tc>
          <w:tcPr>
            <w:tcW w:w="2076" w:type="dxa"/>
            <w:vAlign w:val="center"/>
          </w:tcPr>
          <w:p>
            <w:pPr>
              <w:spacing w:before="0" w:after="0" w:line="240" w:lineRule="auto"/>
              <w:ind w:firstLine="0"/>
              <w:jc w:val="center"/>
            </w:pPr>
            <w:r>
              <w:rPr>
                <w:rFonts w:ascii="宋体" w:hAnsi="宋体" w:eastAsia="宋体"/>
                <w:b w:val="0"/>
                <w:sz w:val="21"/>
              </w:rPr>
              <w:t>50.0%</w:t>
            </w:r>
          </w:p>
        </w:tc>
        <w:tc>
          <w:tcPr>
            <w:tcW w:w="2268" w:type="dxa"/>
            <w:vAlign w:val="center"/>
          </w:tcPr>
          <w:p>
            <w:pPr>
              <w:spacing w:before="0" w:after="0" w:line="240" w:lineRule="auto"/>
              <w:ind w:firstLine="0"/>
              <w:jc w:val="center"/>
            </w:pPr>
            <w:r>
              <w:rPr>
                <w:rFonts w:ascii="宋体" w:hAnsi="宋体" w:eastAsia="宋体"/>
                <w:b w:val="0"/>
                <w:sz w:val="21"/>
              </w:rPr>
              <w:t>8人中4人选择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vAlign w:val="center"/>
          </w:tcPr>
          <w:p>
            <w:pPr>
              <w:spacing w:before="0" w:after="0" w:line="240" w:lineRule="auto"/>
              <w:ind w:firstLine="0"/>
              <w:jc w:val="center"/>
            </w:pPr>
            <w:r>
              <w:rPr>
                <w:rFonts w:ascii="宋体" w:hAnsi="宋体" w:eastAsia="宋体"/>
                <w:b w:val="0"/>
                <w:sz w:val="21"/>
              </w:rPr>
              <w:t>足球赛事集锦/精彩进球</w:t>
            </w:r>
          </w:p>
        </w:tc>
        <w:tc>
          <w:tcPr>
            <w:tcW w:w="2076" w:type="dxa"/>
            <w:vAlign w:val="center"/>
          </w:tcPr>
          <w:p>
            <w:pPr>
              <w:spacing w:before="0" w:after="0" w:line="240" w:lineRule="auto"/>
              <w:ind w:firstLine="0"/>
              <w:jc w:val="center"/>
            </w:pPr>
            <w:r>
              <w:rPr>
                <w:rFonts w:ascii="宋体" w:hAnsi="宋体" w:eastAsia="宋体"/>
                <w:b w:val="0"/>
                <w:sz w:val="21"/>
              </w:rPr>
              <w:t>3</w:t>
            </w:r>
          </w:p>
        </w:tc>
        <w:tc>
          <w:tcPr>
            <w:tcW w:w="2076" w:type="dxa"/>
            <w:vAlign w:val="center"/>
          </w:tcPr>
          <w:p>
            <w:pPr>
              <w:spacing w:before="0" w:after="0" w:line="240" w:lineRule="auto"/>
              <w:ind w:firstLine="0"/>
              <w:jc w:val="center"/>
            </w:pPr>
            <w:r>
              <w:rPr>
                <w:rFonts w:ascii="宋体" w:hAnsi="宋体" w:eastAsia="宋体"/>
                <w:b w:val="0"/>
                <w:sz w:val="21"/>
              </w:rPr>
              <w:t>37.5%</w:t>
            </w:r>
          </w:p>
        </w:tc>
        <w:tc>
          <w:tcPr>
            <w:tcW w:w="2268" w:type="dxa"/>
            <w:vAlign w:val="center"/>
          </w:tcPr>
          <w:p>
            <w:pPr>
              <w:spacing w:before="0" w:after="0" w:line="240" w:lineRule="auto"/>
              <w:ind w:firstLine="0"/>
              <w:jc w:val="center"/>
            </w:pPr>
            <w:r>
              <w:rPr>
                <w:rFonts w:ascii="宋体" w:hAnsi="宋体" w:eastAsia="宋体"/>
                <w:b w:val="0"/>
                <w:sz w:val="21"/>
              </w:rPr>
              <w:t>8人中3人选择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vAlign w:val="center"/>
          </w:tcPr>
          <w:p>
            <w:pPr>
              <w:spacing w:before="0" w:after="0" w:line="240" w:lineRule="auto"/>
              <w:ind w:firstLine="0"/>
              <w:jc w:val="center"/>
            </w:pPr>
            <w:r>
              <w:rPr>
                <w:rFonts w:ascii="宋体" w:hAnsi="宋体" w:eastAsia="宋体"/>
                <w:b w:val="0"/>
                <w:sz w:val="21"/>
              </w:rPr>
              <w:t>贵州村超联动</w:t>
            </w:r>
          </w:p>
        </w:tc>
        <w:tc>
          <w:tcPr>
            <w:tcW w:w="2076" w:type="dxa"/>
            <w:vAlign w:val="center"/>
          </w:tcPr>
          <w:p>
            <w:pPr>
              <w:spacing w:before="0" w:after="0" w:line="240" w:lineRule="auto"/>
              <w:ind w:firstLine="0"/>
              <w:jc w:val="center"/>
            </w:pPr>
            <w:r>
              <w:rPr>
                <w:rFonts w:ascii="宋体" w:hAnsi="宋体" w:eastAsia="宋体"/>
                <w:b w:val="0"/>
                <w:sz w:val="21"/>
              </w:rPr>
              <w:t>2</w:t>
            </w:r>
          </w:p>
        </w:tc>
        <w:tc>
          <w:tcPr>
            <w:tcW w:w="2076" w:type="dxa"/>
            <w:vAlign w:val="center"/>
          </w:tcPr>
          <w:p>
            <w:pPr>
              <w:spacing w:before="0" w:after="0" w:line="240" w:lineRule="auto"/>
              <w:ind w:firstLine="0"/>
              <w:jc w:val="center"/>
            </w:pPr>
            <w:r>
              <w:rPr>
                <w:rFonts w:ascii="宋体" w:hAnsi="宋体" w:eastAsia="宋体"/>
                <w:b w:val="0"/>
                <w:sz w:val="21"/>
              </w:rPr>
              <w:t>25.0%</w:t>
            </w:r>
          </w:p>
        </w:tc>
        <w:tc>
          <w:tcPr>
            <w:tcW w:w="2268" w:type="dxa"/>
            <w:vAlign w:val="center"/>
          </w:tcPr>
          <w:p>
            <w:pPr>
              <w:spacing w:before="0" w:after="0" w:line="240" w:lineRule="auto"/>
              <w:ind w:firstLine="0"/>
              <w:jc w:val="center"/>
            </w:pPr>
            <w:r>
              <w:rPr>
                <w:rFonts w:ascii="宋体" w:hAnsi="宋体" w:eastAsia="宋体"/>
                <w:b w:val="0"/>
                <w:sz w:val="21"/>
              </w:rPr>
              <w:t>8人中2人选择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vAlign w:val="center"/>
          </w:tcPr>
          <w:p>
            <w:pPr>
              <w:spacing w:before="0" w:after="0" w:line="240" w:lineRule="auto"/>
              <w:ind w:firstLine="0"/>
              <w:jc w:val="center"/>
            </w:pPr>
            <w:r>
              <w:rPr>
                <w:rFonts w:ascii="宋体" w:hAnsi="宋体" w:eastAsia="宋体"/>
                <w:b w:val="0"/>
                <w:sz w:val="21"/>
              </w:rPr>
              <w:t>乡村振兴/经济增收</w:t>
            </w:r>
          </w:p>
        </w:tc>
        <w:tc>
          <w:tcPr>
            <w:tcW w:w="2076" w:type="dxa"/>
            <w:vAlign w:val="center"/>
          </w:tcPr>
          <w:p>
            <w:pPr>
              <w:spacing w:before="0" w:after="0" w:line="240" w:lineRule="auto"/>
              <w:ind w:firstLine="0"/>
              <w:jc w:val="center"/>
            </w:pPr>
            <w:r>
              <w:rPr>
                <w:rFonts w:ascii="宋体" w:hAnsi="宋体" w:eastAsia="宋体"/>
                <w:b w:val="0"/>
                <w:sz w:val="21"/>
              </w:rPr>
              <w:t>2</w:t>
            </w:r>
          </w:p>
        </w:tc>
        <w:tc>
          <w:tcPr>
            <w:tcW w:w="2076" w:type="dxa"/>
            <w:vAlign w:val="center"/>
          </w:tcPr>
          <w:p>
            <w:pPr>
              <w:spacing w:before="0" w:after="0" w:line="240" w:lineRule="auto"/>
              <w:ind w:firstLine="0"/>
              <w:jc w:val="center"/>
            </w:pPr>
            <w:r>
              <w:rPr>
                <w:rFonts w:ascii="宋体" w:hAnsi="宋体" w:eastAsia="宋体"/>
                <w:b w:val="0"/>
                <w:sz w:val="21"/>
              </w:rPr>
              <w:t>25.0%</w:t>
            </w:r>
          </w:p>
        </w:tc>
        <w:tc>
          <w:tcPr>
            <w:tcW w:w="2268" w:type="dxa"/>
            <w:vAlign w:val="center"/>
          </w:tcPr>
          <w:p>
            <w:pPr>
              <w:spacing w:before="0" w:after="0" w:line="240" w:lineRule="auto"/>
              <w:ind w:firstLine="0"/>
              <w:jc w:val="center"/>
            </w:pPr>
            <w:r>
              <w:rPr>
                <w:rFonts w:ascii="宋体" w:hAnsi="宋体" w:eastAsia="宋体"/>
                <w:b w:val="0"/>
                <w:sz w:val="21"/>
              </w:rPr>
              <w:t>8人中2人选择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vAlign w:val="center"/>
          </w:tcPr>
          <w:p>
            <w:pPr>
              <w:spacing w:before="0" w:after="0" w:line="240" w:lineRule="auto"/>
              <w:ind w:firstLine="0"/>
              <w:jc w:val="center"/>
            </w:pPr>
            <w:r>
              <w:rPr>
                <w:rFonts w:ascii="宋体" w:hAnsi="宋体" w:eastAsia="宋体"/>
                <w:b w:val="0"/>
                <w:sz w:val="21"/>
              </w:rPr>
              <w:t>人文故事</w:t>
            </w:r>
          </w:p>
        </w:tc>
        <w:tc>
          <w:tcPr>
            <w:tcW w:w="2076" w:type="dxa"/>
            <w:vAlign w:val="center"/>
          </w:tcPr>
          <w:p>
            <w:pPr>
              <w:spacing w:before="0" w:after="0" w:line="240" w:lineRule="auto"/>
              <w:ind w:firstLine="0"/>
              <w:jc w:val="center"/>
            </w:pPr>
            <w:r>
              <w:rPr>
                <w:rFonts w:ascii="宋体" w:hAnsi="宋体" w:eastAsia="宋体"/>
                <w:b w:val="0"/>
                <w:sz w:val="21"/>
              </w:rPr>
              <w:t>1</w:t>
            </w:r>
          </w:p>
        </w:tc>
        <w:tc>
          <w:tcPr>
            <w:tcW w:w="2076" w:type="dxa"/>
            <w:vAlign w:val="center"/>
          </w:tcPr>
          <w:p>
            <w:pPr>
              <w:spacing w:before="0" w:after="0" w:line="240" w:lineRule="auto"/>
              <w:ind w:firstLine="0"/>
              <w:jc w:val="center"/>
            </w:pPr>
            <w:r>
              <w:rPr>
                <w:rFonts w:ascii="宋体" w:hAnsi="宋体" w:eastAsia="宋体"/>
                <w:b w:val="0"/>
                <w:sz w:val="21"/>
              </w:rPr>
              <w:t>12.5%</w:t>
            </w:r>
          </w:p>
        </w:tc>
        <w:tc>
          <w:tcPr>
            <w:tcW w:w="2268" w:type="dxa"/>
            <w:vAlign w:val="center"/>
          </w:tcPr>
          <w:p>
            <w:pPr>
              <w:spacing w:before="0" w:after="0" w:line="240" w:lineRule="auto"/>
              <w:ind w:firstLine="0"/>
              <w:jc w:val="center"/>
            </w:pPr>
            <w:r>
              <w:rPr>
                <w:rFonts w:ascii="宋体" w:hAnsi="宋体" w:eastAsia="宋体"/>
                <w:b w:val="0"/>
                <w:sz w:val="21"/>
              </w:rPr>
              <w:t>8人中1人选择</w:t>
            </w:r>
          </w:p>
        </w:tc>
      </w:tr>
    </w:tbl>
    <w:p>
      <w:pPr>
        <w:rPr>
          <w:rFonts w:ascii="宋体" w:hAnsi="宋体" w:eastAsia="宋体"/>
          <w:b w:val="0"/>
          <w:sz w:val="18"/>
          <w:szCs w:val="16"/>
        </w:rPr>
      </w:pPr>
      <w:r>
        <w:rPr>
          <w:rFonts w:ascii="宋体" w:hAnsi="宋体" w:eastAsia="宋体"/>
          <w:b w:val="0"/>
          <w:sz w:val="18"/>
          <w:szCs w:val="16"/>
        </w:rPr>
        <w:t>注：受众需求调查共回收8份有效问卷。占比 = 选择该主题的人数 / 总受访人数（8人），各主题占比之和超过100%（每人最多可选3项）。</w:t>
      </w:r>
    </w:p>
    <w:p>
      <w:pPr>
        <w:ind w:left="0" w:leftChars="0" w:firstLine="0" w:firstLineChars="0"/>
        <w:jc w:val="center"/>
      </w:pPr>
      <w:r>
        <w:drawing>
          <wp:inline distT="0" distB="0" distL="114300" distR="114300">
            <wp:extent cx="4584700" cy="2755900"/>
            <wp:effectExtent l="0" t="0" r="0" b="0"/>
            <wp:docPr id="7" name="图片 6" descr="cb9e866083c2a2f7a4a62be2c5361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cb9e866083c2a2f7a4a62be2c5361b5a"/>
                    <pic:cNvPicPr>
                      <a:picLocks noChangeAspect="1"/>
                    </pic:cNvPicPr>
                  </pic:nvPicPr>
                  <pic:blipFill>
                    <a:blip r:embed="rId7"/>
                    <a:stretch>
                      <a:fillRect/>
                    </a:stretch>
                  </pic:blipFill>
                  <pic:spPr>
                    <a:xfrm>
                      <a:off x="0" y="0"/>
                      <a:ext cx="4584700" cy="2755900"/>
                    </a:xfrm>
                    <a:prstGeom prst="rect">
                      <a:avLst/>
                    </a:prstGeom>
                  </pic:spPr>
                </pic:pic>
              </a:graphicData>
            </a:graphic>
          </wp:inline>
        </w:drawing>
      </w:r>
    </w:p>
    <w:p>
      <w:pPr>
        <w:pStyle w:val="15"/>
        <w:ind w:left="0" w:leftChars="0" w:firstLine="0" w:firstLineChars="0"/>
        <w:jc w:val="center"/>
        <w:rPr>
          <w:rFonts w:hint="eastAsia" w:ascii="宋体" w:hAnsi="宋体" w:eastAsia="宋体" w:cstheme="minorBidi"/>
          <w:b/>
          <w:bCs w:val="0"/>
          <w:color w:val="000000"/>
          <w:sz w:val="21"/>
          <w:szCs w:val="22"/>
          <w:lang w:val="en-US" w:eastAsia="zh-CN" w:bidi="ar-SA"/>
        </w:rPr>
      </w:pPr>
      <w:r>
        <w:rPr>
          <w:rFonts w:ascii="宋体" w:hAnsi="宋体" w:eastAsia="宋体" w:cstheme="minorBidi"/>
          <w:b/>
          <w:bCs w:val="0"/>
          <w:color w:val="000000"/>
          <w:sz w:val="21"/>
          <w:szCs w:val="22"/>
          <w:lang w:val="en-US" w:eastAsia="en-US" w:bidi="ar-SA"/>
        </w:rPr>
        <w:t xml:space="preserve">图 </w:t>
      </w:r>
      <w:r>
        <w:rPr>
          <w:rFonts w:ascii="宋体" w:hAnsi="宋体" w:eastAsia="宋体" w:cstheme="minorBidi"/>
          <w:b/>
          <w:bCs w:val="0"/>
          <w:color w:val="000000"/>
          <w:sz w:val="21"/>
          <w:szCs w:val="22"/>
          <w:lang w:val="en-US" w:eastAsia="en-US" w:bidi="ar-SA"/>
        </w:rPr>
        <w:fldChar w:fldCharType="begin"/>
      </w:r>
      <w:r>
        <w:rPr>
          <w:rFonts w:ascii="宋体" w:hAnsi="宋体" w:eastAsia="宋体" w:cstheme="minorBidi"/>
          <w:b/>
          <w:bCs w:val="0"/>
          <w:color w:val="000000"/>
          <w:sz w:val="21"/>
          <w:szCs w:val="22"/>
          <w:lang w:val="en-US" w:eastAsia="en-US" w:bidi="ar-SA"/>
        </w:rPr>
        <w:instrText xml:space="preserve"> SEQ 图 \* ARABIC </w:instrText>
      </w:r>
      <w:r>
        <w:rPr>
          <w:rFonts w:ascii="宋体" w:hAnsi="宋体" w:eastAsia="宋体" w:cstheme="minorBidi"/>
          <w:b/>
          <w:bCs w:val="0"/>
          <w:color w:val="000000"/>
          <w:sz w:val="21"/>
          <w:szCs w:val="22"/>
          <w:lang w:val="en-US" w:eastAsia="en-US" w:bidi="ar-SA"/>
        </w:rPr>
        <w:fldChar w:fldCharType="separate"/>
      </w:r>
      <w:r>
        <w:rPr>
          <w:rFonts w:ascii="宋体" w:hAnsi="宋体" w:eastAsia="宋体" w:cstheme="minorBidi"/>
          <w:b/>
          <w:bCs w:val="0"/>
          <w:color w:val="000000"/>
          <w:sz w:val="21"/>
          <w:szCs w:val="22"/>
          <w:lang w:val="en-US" w:eastAsia="en-US" w:bidi="ar-SA"/>
        </w:rPr>
        <w:t>2</w:t>
      </w:r>
      <w:r>
        <w:rPr>
          <w:rFonts w:ascii="宋体" w:hAnsi="宋体" w:eastAsia="宋体" w:cstheme="minorBidi"/>
          <w:b/>
          <w:bCs w:val="0"/>
          <w:color w:val="000000"/>
          <w:sz w:val="21"/>
          <w:szCs w:val="22"/>
          <w:lang w:val="en-US" w:eastAsia="en-US" w:bidi="ar-SA"/>
        </w:rPr>
        <w:fldChar w:fldCharType="end"/>
      </w:r>
      <w:r>
        <w:rPr>
          <w:rFonts w:hint="eastAsia" w:ascii="宋体" w:hAnsi="宋体" w:eastAsia="宋体" w:cstheme="minorBidi"/>
          <w:b/>
          <w:bCs w:val="0"/>
          <w:color w:val="000000"/>
          <w:sz w:val="21"/>
          <w:szCs w:val="22"/>
          <w:lang w:val="en-US" w:eastAsia="zh-CN" w:bidi="ar-SA"/>
        </w:rPr>
        <w:t xml:space="preserve"> </w:t>
      </w:r>
      <w:r>
        <w:rPr>
          <w:rFonts w:ascii="宋体" w:hAnsi="宋体" w:eastAsia="宋体" w:cstheme="minorBidi"/>
          <w:b/>
          <w:bCs w:val="0"/>
          <w:color w:val="000000"/>
          <w:sz w:val="21"/>
          <w:szCs w:val="22"/>
          <w:lang w:val="en-US" w:eastAsia="en-US" w:bidi="ar-SA"/>
        </w:rPr>
        <w:t>贵州村超七主题受众需求分布</w:t>
      </w:r>
    </w:p>
    <w:p>
      <w:pPr>
        <w:pStyle w:val="4"/>
      </w:pPr>
      <w:bookmarkStart w:id="14" w:name="_Toc4927"/>
      <w:r>
        <w:rPr>
          <w:rFonts w:ascii="宋体" w:hAnsi="宋体" w:eastAsia="宋体"/>
          <w:b/>
          <w:color w:val="000000"/>
        </w:rPr>
        <w:t>（三）需求梯队划分</w:t>
      </w:r>
      <w:bookmarkEnd w:id="14"/>
    </w:p>
    <w:p>
      <w:r>
        <w:rPr>
          <w:rFonts w:ascii="宋体" w:hAnsi="宋体" w:eastAsia="宋体"/>
          <w:b w:val="0"/>
          <w:sz w:val="24"/>
        </w:rPr>
        <w:t>根据各主题的受众需求占比，将7个内容主题划分为三个需求梯队：</w:t>
      </w:r>
    </w:p>
    <w:p>
      <w:r>
        <w:rPr>
          <w:rFonts w:ascii="宋体" w:hAnsi="宋体" w:eastAsia="宋体"/>
          <w:b w:val="0"/>
          <w:sz w:val="24"/>
        </w:rPr>
        <w:t>第一梯队（高需求，占比≥50%）：本地民俗文化展示、美食特产/文创产品、现场气氛。这三个主题是受众最关注的内容方向，代表了贵州村超作为文旅IP的核心吸引力——文化沉浸、美食体验、氛围感染。三者的共同特征是强调“体验感”和“参与感”，而非单纯的“观赏性”。</w:t>
      </w:r>
    </w:p>
    <w:p>
      <w:r>
        <w:rPr>
          <w:rFonts w:ascii="宋体" w:hAnsi="宋体" w:eastAsia="宋体"/>
          <w:b w:val="0"/>
          <w:sz w:val="24"/>
        </w:rPr>
        <w:t>第二梯队（中等需求，占比25%-50%）：足球赛事集锦/精彩进球、贵州村超联动、乡村振兴/经济增收。这三个主题虽未达到半数以上的高关注，但仍有一定规模的受众基础。其中足球赛事集锦（37.5%）的受众需求虽然低于预期，但仍属中等需求区间，不可完全忽视。</w:t>
      </w:r>
    </w:p>
    <w:p>
      <w:r>
        <w:rPr>
          <w:rFonts w:ascii="宋体" w:hAnsi="宋体" w:eastAsia="宋体"/>
          <w:b w:val="0"/>
          <w:sz w:val="24"/>
        </w:rPr>
        <w:t>第三梯队（低需求，占比&lt;25%）：人文故事。人文故事以12.5%排名末位。但需注意，“95岁侗家奶奶”单条播放5亿+的案例表明，人文故事类内容虽然主动关注度低，但一旦触达受众，具有极强的传播爆发力。这是典型的“低关注、高爆发”内容品类。</w:t>
      </w:r>
    </w:p>
    <w:p>
      <w:pPr>
        <w:pStyle w:val="4"/>
      </w:pPr>
      <w:bookmarkStart w:id="15" w:name="_Toc6948"/>
      <w:r>
        <w:rPr>
          <w:rFonts w:ascii="宋体" w:hAnsi="宋体" w:eastAsia="宋体"/>
          <w:b/>
          <w:color w:val="000000"/>
        </w:rPr>
        <w:t>（四）受众需求特征小结</w:t>
      </w:r>
      <w:bookmarkEnd w:id="15"/>
    </w:p>
    <w:p>
      <w:r>
        <w:rPr>
          <w:rFonts w:ascii="宋体" w:hAnsi="宋体" w:eastAsia="宋体"/>
          <w:b w:val="0"/>
          <w:sz w:val="24"/>
        </w:rPr>
        <w:t>受众需求分析揭示了一个关键趋势：公众对贵州村超的关注焦点已从“足球赛事”向“文旅体验”方向迁移。以民俗文化（62.5%）、美食特产（62.5%）和现场气氛（50.0%）为代表的文化旅游体验类内容，其受众关注度显著高于足球赛事集锦（37.5%）。这标志着村超IP正在完成从“体育赛事”到“文旅综合体”的价值跃迁。这一趋势性发现将作为后续供需对比分析和AI推荐算法策略制定的核心依据。</w:t>
      </w:r>
    </w:p>
    <w:p>
      <w:pPr>
        <w:pStyle w:val="3"/>
      </w:pPr>
      <w:bookmarkStart w:id="16" w:name="_Toc11449"/>
      <w:r>
        <w:rPr>
          <w:rFonts w:ascii="宋体" w:hAnsi="宋体" w:eastAsia="宋体"/>
          <w:b/>
          <w:color w:val="000000"/>
        </w:rPr>
        <w:t>四、内容供给分析</w:t>
      </w:r>
      <w:bookmarkEnd w:id="16"/>
    </w:p>
    <w:p>
      <w:pPr>
        <w:pStyle w:val="4"/>
      </w:pPr>
      <w:bookmarkStart w:id="17" w:name="_Toc28511"/>
      <w:r>
        <w:rPr>
          <w:rFonts w:ascii="宋体" w:hAnsi="宋体" w:eastAsia="宋体"/>
          <w:b/>
          <w:color w:val="000000"/>
        </w:rPr>
        <w:t>（一）数据来源与采集方式</w:t>
      </w:r>
      <w:bookmarkEnd w:id="17"/>
    </w:p>
    <w:p>
      <w:r>
        <w:rPr>
          <w:rFonts w:ascii="宋体" w:hAnsi="宋体" w:eastAsia="宋体"/>
          <w:b w:val="0"/>
          <w:sz w:val="24"/>
        </w:rPr>
        <w:t>内容供给数据来源于workbuddy工具对全网数据的搜集整理。与平台流量数据（反映社媒平台上实际涌现的内容分布，包含算法推荐信息）不同，内容供给数据反映的是全网可获取的内容资源总量（包含潜在素材库和内容生产潜力）。综合抖音官方大数据（130亿+话题播放、18.5万创作者、3万+直播场次）、腾讯数字舆情研究、榕江县融媒体官方报告、贵州省文旅厅公开数据等多源信息，对7个内容主题在三大平台的内容供给热度进行星级评级和综合占比估算。</w:t>
      </w:r>
    </w:p>
    <w:p>
      <w:r>
        <w:rPr>
          <w:rFonts w:ascii="宋体" w:hAnsi="宋体" w:eastAsia="宋体"/>
          <w:b w:val="0"/>
          <w:sz w:val="24"/>
        </w:rPr>
        <w:t>内容供给数据在本报告中主要起辅助验证作用——用于交叉检验平台流量分析的结论，并从“潜在可创作素材”的角度为推荐算法的内容生产引导策略提供参考。</w:t>
      </w:r>
    </w:p>
    <w:p>
      <w:pPr>
        <w:pStyle w:val="4"/>
      </w:pPr>
      <w:bookmarkStart w:id="18" w:name="_Toc10152"/>
      <w:r>
        <w:rPr>
          <w:rFonts w:ascii="宋体" w:hAnsi="宋体" w:eastAsia="宋体"/>
          <w:b/>
          <w:color w:val="000000"/>
        </w:rPr>
        <w:t>（二）三平台×七主题供给矩阵</w:t>
      </w:r>
      <w:bookmarkEnd w:id="18"/>
    </w:p>
    <w:p>
      <w:r>
        <w:rPr>
          <w:rFonts w:ascii="宋体" w:hAnsi="宋体" w:eastAsia="宋体"/>
          <w:b w:val="0"/>
          <w:sz w:val="24"/>
        </w:rPr>
        <w:t>从全网供给看，“足球赛事集锦/精彩进球”以约3</w:t>
      </w:r>
      <w:r>
        <w:rPr>
          <w:rFonts w:hint="eastAsia"/>
          <w:b w:val="0"/>
          <w:sz w:val="24"/>
          <w:lang w:val="en-US" w:eastAsia="zh-CN"/>
        </w:rPr>
        <w:t>5</w:t>
      </w:r>
      <w:r>
        <w:rPr>
          <w:rFonts w:ascii="宋体" w:hAnsi="宋体" w:eastAsia="宋体"/>
          <w:b w:val="0"/>
          <w:sz w:val="24"/>
        </w:rPr>
        <w:t>%的综合占比排名第一，是村超内容生态的绝对主力。“本地民俗文化展示”与“现场气氛”各占约</w:t>
      </w:r>
      <w:r>
        <w:rPr>
          <w:rFonts w:hint="eastAsia"/>
          <w:b w:val="0"/>
          <w:sz w:val="24"/>
          <w:lang w:val="en-US" w:eastAsia="zh-CN"/>
        </w:rPr>
        <w:t>20</w:t>
      </w:r>
      <w:r>
        <w:rPr>
          <w:rFonts w:ascii="宋体" w:hAnsi="宋体" w:eastAsia="宋体"/>
          <w:b w:val="0"/>
          <w:sz w:val="24"/>
        </w:rPr>
        <w:t>%，并列第二。“美食特产/文创产品”在小红书平台表现尤为突出，具有强种草变现能力。“乡村振兴/经济增收”和“贵州村超联动”的供给占比相对较低。</w:t>
      </w:r>
    </w:p>
    <w:p>
      <w:pPr>
        <w:spacing w:before="120" w:after="60" w:line="360" w:lineRule="auto"/>
        <w:ind w:firstLine="0"/>
        <w:jc w:val="center"/>
      </w:pPr>
      <w:r>
        <w:rPr>
          <w:rFonts w:ascii="宋体" w:hAnsi="宋体" w:eastAsia="宋体"/>
          <w:b/>
          <w:sz w:val="21"/>
        </w:rPr>
        <w:t>表3 贵州村超内容供给 —— 三平台×七主题综合矩阵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1326"/>
        <w:gridCol w:w="1326"/>
        <w:gridCol w:w="1326"/>
        <w:gridCol w:w="962"/>
        <w:gridCol w:w="2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shd w:val="clear" w:color="auto" w:fill="DAE3F3"/>
            <w:vAlign w:val="center"/>
          </w:tcPr>
          <w:p>
            <w:pPr>
              <w:spacing w:before="0" w:after="0" w:line="240" w:lineRule="auto"/>
              <w:ind w:firstLine="0"/>
              <w:jc w:val="center"/>
            </w:pPr>
            <w:r>
              <w:rPr>
                <w:rFonts w:ascii="宋体" w:hAnsi="宋体" w:eastAsia="宋体"/>
                <w:b/>
                <w:sz w:val="21"/>
              </w:rPr>
              <w:t>内容主题</w:t>
            </w:r>
          </w:p>
        </w:tc>
        <w:tc>
          <w:tcPr>
            <w:tcW w:w="1326" w:type="dxa"/>
            <w:shd w:val="clear" w:color="auto" w:fill="DAE3F3"/>
            <w:vAlign w:val="center"/>
          </w:tcPr>
          <w:p>
            <w:pPr>
              <w:spacing w:before="0" w:after="0" w:line="240" w:lineRule="auto"/>
              <w:ind w:firstLine="0"/>
              <w:jc w:val="center"/>
            </w:pPr>
            <w:r>
              <w:rPr>
                <w:rFonts w:ascii="宋体" w:hAnsi="宋体" w:eastAsia="宋体"/>
                <w:b/>
                <w:sz w:val="21"/>
              </w:rPr>
              <w:t>抖音热度</w:t>
            </w:r>
          </w:p>
        </w:tc>
        <w:tc>
          <w:tcPr>
            <w:tcW w:w="1326" w:type="dxa"/>
            <w:shd w:val="clear" w:color="auto" w:fill="DAE3F3"/>
            <w:vAlign w:val="center"/>
          </w:tcPr>
          <w:p>
            <w:pPr>
              <w:spacing w:before="0" w:after="0" w:line="240" w:lineRule="auto"/>
              <w:ind w:firstLine="0"/>
              <w:jc w:val="center"/>
            </w:pPr>
            <w:r>
              <w:rPr>
                <w:rFonts w:ascii="宋体" w:hAnsi="宋体" w:eastAsia="宋体"/>
                <w:b/>
                <w:sz w:val="21"/>
              </w:rPr>
              <w:t>小红书热度</w:t>
            </w:r>
          </w:p>
        </w:tc>
        <w:tc>
          <w:tcPr>
            <w:tcW w:w="1326" w:type="dxa"/>
            <w:shd w:val="clear" w:color="auto" w:fill="DAE3F3"/>
            <w:vAlign w:val="center"/>
          </w:tcPr>
          <w:p>
            <w:pPr>
              <w:spacing w:before="0" w:after="0" w:line="240" w:lineRule="auto"/>
              <w:ind w:firstLine="0"/>
              <w:jc w:val="center"/>
            </w:pPr>
            <w:r>
              <w:rPr>
                <w:rFonts w:ascii="宋体" w:hAnsi="宋体" w:eastAsia="宋体"/>
                <w:b/>
                <w:sz w:val="21"/>
              </w:rPr>
              <w:t>视频号热度</w:t>
            </w:r>
          </w:p>
        </w:tc>
        <w:tc>
          <w:tcPr>
            <w:tcW w:w="962" w:type="dxa"/>
            <w:shd w:val="clear" w:color="auto" w:fill="DAE3F3"/>
            <w:vAlign w:val="center"/>
          </w:tcPr>
          <w:p>
            <w:pPr>
              <w:spacing w:before="0" w:after="0" w:line="240" w:lineRule="auto"/>
              <w:ind w:firstLine="0"/>
              <w:jc w:val="center"/>
            </w:pPr>
            <w:r>
              <w:rPr>
                <w:rFonts w:ascii="宋体" w:hAnsi="宋体" w:eastAsia="宋体"/>
                <w:b/>
                <w:sz w:val="21"/>
              </w:rPr>
              <w:t>综合估算占比</w:t>
            </w:r>
          </w:p>
        </w:tc>
        <w:tc>
          <w:tcPr>
            <w:tcW w:w="2084" w:type="dxa"/>
            <w:shd w:val="clear" w:color="auto" w:fill="DAE3F3"/>
            <w:vAlign w:val="center"/>
          </w:tcPr>
          <w:p>
            <w:pPr>
              <w:spacing w:before="0" w:after="0" w:line="240" w:lineRule="auto"/>
              <w:ind w:firstLine="0"/>
              <w:jc w:val="center"/>
            </w:pPr>
            <w:r>
              <w:rPr>
                <w:rFonts w:ascii="宋体" w:hAnsi="宋体" w:eastAsia="宋体"/>
                <w:b/>
                <w:sz w:val="21"/>
              </w:rPr>
              <w:t>代表内容/数据支撑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pPr>
              <w:spacing w:before="0" w:after="0" w:line="240" w:lineRule="auto"/>
              <w:ind w:firstLine="0"/>
              <w:jc w:val="center"/>
            </w:pPr>
            <w:r>
              <w:rPr>
                <w:rFonts w:ascii="宋体" w:hAnsi="宋体" w:eastAsia="宋体"/>
                <w:b w:val="0"/>
                <w:sz w:val="21"/>
              </w:rPr>
              <w:t>足球赛事集锦/精彩进球</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962" w:type="dxa"/>
            <w:vAlign w:val="center"/>
          </w:tcPr>
          <w:p>
            <w:pPr>
              <w:spacing w:before="0" w:after="0" w:line="240" w:lineRule="auto"/>
              <w:ind w:firstLine="0"/>
              <w:jc w:val="center"/>
            </w:pPr>
            <w:r>
              <w:rPr>
                <w:rFonts w:ascii="宋体" w:hAnsi="宋体" w:eastAsia="宋体"/>
                <w:b w:val="0"/>
                <w:sz w:val="21"/>
              </w:rPr>
              <w:t>约3</w:t>
            </w:r>
            <w:r>
              <w:rPr>
                <w:rFonts w:hint="eastAsia"/>
                <w:b w:val="0"/>
                <w:sz w:val="21"/>
                <w:lang w:val="en-US" w:eastAsia="zh-CN"/>
              </w:rPr>
              <w:t>5</w:t>
            </w:r>
            <w:r>
              <w:rPr>
                <w:rFonts w:ascii="宋体" w:hAnsi="宋体" w:eastAsia="宋体"/>
                <w:b w:val="0"/>
                <w:sz w:val="21"/>
              </w:rPr>
              <w:t>%</w:t>
            </w:r>
          </w:p>
        </w:tc>
        <w:tc>
          <w:tcPr>
            <w:tcW w:w="2084" w:type="dxa"/>
            <w:vAlign w:val="center"/>
          </w:tcPr>
          <w:p>
            <w:pPr>
              <w:spacing w:before="0" w:after="0" w:line="240" w:lineRule="auto"/>
              <w:ind w:firstLine="0"/>
              <w:jc w:val="center"/>
            </w:pPr>
            <w:r>
              <w:rPr>
                <w:rFonts w:ascii="宋体" w:hAnsi="宋体" w:eastAsia="宋体"/>
                <w:b w:val="0"/>
                <w:sz w:val="21"/>
              </w:rPr>
              <w:t>3万+直播场次；单场最高6万人现场；130亿+话题播放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pPr>
              <w:spacing w:before="0" w:after="0" w:line="240" w:lineRule="auto"/>
              <w:ind w:firstLine="0"/>
              <w:jc w:val="center"/>
            </w:pPr>
            <w:r>
              <w:rPr>
                <w:rFonts w:ascii="宋体" w:hAnsi="宋体" w:eastAsia="宋体"/>
                <w:b w:val="0"/>
                <w:sz w:val="21"/>
              </w:rPr>
              <w:t>本地民俗文化展示</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962" w:type="dxa"/>
            <w:vAlign w:val="center"/>
          </w:tcPr>
          <w:p>
            <w:pPr>
              <w:spacing w:before="0" w:after="0" w:line="240" w:lineRule="auto"/>
              <w:ind w:firstLine="0"/>
              <w:jc w:val="center"/>
            </w:pPr>
            <w:r>
              <w:rPr>
                <w:rFonts w:ascii="宋体" w:hAnsi="宋体" w:eastAsia="宋体"/>
                <w:b w:val="0"/>
                <w:sz w:val="21"/>
              </w:rPr>
              <w:t>约</w:t>
            </w:r>
            <w:r>
              <w:rPr>
                <w:rFonts w:hint="eastAsia"/>
                <w:b w:val="0"/>
                <w:sz w:val="21"/>
                <w:lang w:val="en-US" w:eastAsia="zh-CN"/>
              </w:rPr>
              <w:t>20</w:t>
            </w:r>
            <w:r>
              <w:rPr>
                <w:rFonts w:ascii="宋体" w:hAnsi="宋体" w:eastAsia="宋体"/>
                <w:b w:val="0"/>
                <w:sz w:val="21"/>
              </w:rPr>
              <w:t>%</w:t>
            </w:r>
          </w:p>
        </w:tc>
        <w:tc>
          <w:tcPr>
            <w:tcW w:w="2084" w:type="dxa"/>
            <w:vAlign w:val="center"/>
          </w:tcPr>
          <w:p>
            <w:pPr>
              <w:spacing w:before="0" w:after="0" w:line="240" w:lineRule="auto"/>
              <w:ind w:firstLine="0"/>
              <w:jc w:val="center"/>
            </w:pPr>
            <w:r>
              <w:rPr>
                <w:rFonts w:ascii="宋体" w:hAnsi="宋体" w:eastAsia="宋体"/>
                <w:b w:val="0"/>
                <w:sz w:val="21"/>
              </w:rPr>
              <w:t>425场民族文化展演；710+非遗节目；20+民族参与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pPr>
              <w:spacing w:before="0" w:after="0" w:line="240" w:lineRule="auto"/>
              <w:ind w:firstLine="0"/>
              <w:jc w:val="center"/>
            </w:pPr>
            <w:r>
              <w:rPr>
                <w:rFonts w:ascii="宋体" w:hAnsi="宋体" w:eastAsia="宋体"/>
                <w:b w:val="0"/>
                <w:sz w:val="21"/>
              </w:rPr>
              <w:t>现场气氛</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962" w:type="dxa"/>
            <w:vAlign w:val="center"/>
          </w:tcPr>
          <w:p>
            <w:pPr>
              <w:spacing w:before="0" w:after="0" w:line="240" w:lineRule="auto"/>
              <w:ind w:firstLine="0"/>
              <w:jc w:val="center"/>
            </w:pPr>
            <w:r>
              <w:rPr>
                <w:rFonts w:ascii="宋体" w:hAnsi="宋体" w:eastAsia="宋体"/>
                <w:b w:val="0"/>
                <w:sz w:val="21"/>
              </w:rPr>
              <w:t>约1</w:t>
            </w:r>
            <w:r>
              <w:rPr>
                <w:rFonts w:hint="eastAsia"/>
                <w:b w:val="0"/>
                <w:sz w:val="21"/>
                <w:lang w:val="en-US" w:eastAsia="zh-CN"/>
              </w:rPr>
              <w:t>6</w:t>
            </w:r>
            <w:r>
              <w:rPr>
                <w:rFonts w:ascii="宋体" w:hAnsi="宋体" w:eastAsia="宋体"/>
                <w:b w:val="0"/>
                <w:sz w:val="21"/>
              </w:rPr>
              <w:t>%</w:t>
            </w:r>
          </w:p>
        </w:tc>
        <w:tc>
          <w:tcPr>
            <w:tcW w:w="2084" w:type="dxa"/>
            <w:vAlign w:val="center"/>
          </w:tcPr>
          <w:p>
            <w:pPr>
              <w:spacing w:before="0" w:after="0" w:line="240" w:lineRule="auto"/>
              <w:ind w:firstLine="0"/>
              <w:jc w:val="center"/>
            </w:pPr>
            <w:r>
              <w:rPr>
                <w:rFonts w:ascii="宋体" w:hAnsi="宋体" w:eastAsia="宋体"/>
                <w:b w:val="0"/>
                <w:sz w:val="21"/>
              </w:rPr>
              <w:t>中场表演高点赞；观众互动视频热传；啦啦队文化出圈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pPr>
              <w:spacing w:before="0" w:after="0" w:line="240" w:lineRule="auto"/>
              <w:ind w:firstLine="0"/>
              <w:jc w:val="center"/>
            </w:pPr>
            <w:r>
              <w:rPr>
                <w:rFonts w:ascii="宋体" w:hAnsi="宋体" w:eastAsia="宋体"/>
                <w:b w:val="0"/>
                <w:sz w:val="21"/>
              </w:rPr>
              <w:t>美食特产/文创产品</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962" w:type="dxa"/>
            <w:vAlign w:val="center"/>
          </w:tcPr>
          <w:p>
            <w:pPr>
              <w:spacing w:before="0" w:after="0" w:line="240" w:lineRule="auto"/>
              <w:ind w:firstLine="0"/>
              <w:jc w:val="center"/>
            </w:pPr>
            <w:r>
              <w:rPr>
                <w:rFonts w:ascii="宋体" w:hAnsi="宋体" w:eastAsia="宋体"/>
                <w:b w:val="0"/>
                <w:sz w:val="21"/>
              </w:rPr>
              <w:t>约14%</w:t>
            </w:r>
          </w:p>
        </w:tc>
        <w:tc>
          <w:tcPr>
            <w:tcW w:w="2084" w:type="dxa"/>
            <w:vAlign w:val="center"/>
          </w:tcPr>
          <w:p>
            <w:pPr>
              <w:spacing w:before="0" w:after="0" w:line="240" w:lineRule="auto"/>
              <w:ind w:firstLine="0"/>
              <w:jc w:val="center"/>
            </w:pPr>
            <w:r>
              <w:rPr>
                <w:rFonts w:ascii="宋体" w:hAnsi="宋体" w:eastAsia="宋体"/>
                <w:b w:val="0"/>
                <w:sz w:val="21"/>
              </w:rPr>
              <w:t>美食联赛火爆；酒旅订单增160倍；酸汤鱼/卷粉成网红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pPr>
              <w:spacing w:before="0" w:after="0" w:line="240" w:lineRule="auto"/>
              <w:ind w:firstLine="0"/>
              <w:jc w:val="center"/>
            </w:pPr>
            <w:r>
              <w:rPr>
                <w:rFonts w:ascii="宋体" w:hAnsi="宋体" w:eastAsia="宋体"/>
                <w:b w:val="0"/>
                <w:sz w:val="21"/>
              </w:rPr>
              <w:t>人文故事</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962" w:type="dxa"/>
            <w:vAlign w:val="center"/>
          </w:tcPr>
          <w:p>
            <w:pPr>
              <w:spacing w:before="0" w:after="0" w:line="240" w:lineRule="auto"/>
              <w:ind w:firstLine="0"/>
              <w:jc w:val="center"/>
            </w:pPr>
            <w:r>
              <w:rPr>
                <w:rFonts w:ascii="宋体" w:hAnsi="宋体" w:eastAsia="宋体"/>
                <w:b w:val="0"/>
                <w:sz w:val="21"/>
              </w:rPr>
              <w:t>约</w:t>
            </w:r>
            <w:r>
              <w:rPr>
                <w:rFonts w:hint="eastAsia"/>
                <w:b w:val="0"/>
                <w:sz w:val="21"/>
                <w:lang w:val="en-US" w:eastAsia="zh-CN"/>
              </w:rPr>
              <w:t>8</w:t>
            </w:r>
            <w:r>
              <w:rPr>
                <w:rFonts w:ascii="宋体" w:hAnsi="宋体" w:eastAsia="宋体"/>
                <w:b w:val="0"/>
                <w:sz w:val="21"/>
              </w:rPr>
              <w:t>%</w:t>
            </w:r>
          </w:p>
        </w:tc>
        <w:tc>
          <w:tcPr>
            <w:tcW w:w="2084" w:type="dxa"/>
            <w:vAlign w:val="center"/>
          </w:tcPr>
          <w:p>
            <w:pPr>
              <w:spacing w:before="0" w:after="0" w:line="240" w:lineRule="auto"/>
              <w:ind w:firstLine="0"/>
              <w:jc w:val="center"/>
            </w:pPr>
            <w:r>
              <w:rPr>
                <w:rFonts w:ascii="宋体" w:hAnsi="宋体" w:eastAsia="宋体"/>
                <w:b w:val="0"/>
                <w:sz w:val="21"/>
              </w:rPr>
              <w:t>“95岁侗家奶奶”单条播放5亿+；村民球员故事出圈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pPr>
              <w:spacing w:before="0" w:after="0" w:line="240" w:lineRule="auto"/>
              <w:ind w:firstLine="0"/>
              <w:jc w:val="center"/>
            </w:pPr>
            <w:r>
              <w:rPr>
                <w:rFonts w:ascii="宋体" w:hAnsi="宋体" w:eastAsia="宋体"/>
                <w:b w:val="0"/>
                <w:sz w:val="21"/>
              </w:rPr>
              <w:t>贵州村超联动</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962" w:type="dxa"/>
            <w:vAlign w:val="center"/>
          </w:tcPr>
          <w:p>
            <w:pPr>
              <w:spacing w:before="0" w:after="0" w:line="240" w:lineRule="auto"/>
              <w:ind w:firstLine="0"/>
              <w:jc w:val="center"/>
            </w:pPr>
            <w:r>
              <w:rPr>
                <w:rFonts w:ascii="宋体" w:hAnsi="宋体" w:eastAsia="宋体"/>
                <w:b w:val="0"/>
                <w:sz w:val="21"/>
              </w:rPr>
              <w:t>约</w:t>
            </w:r>
            <w:r>
              <w:rPr>
                <w:rFonts w:hint="eastAsia"/>
                <w:b w:val="0"/>
                <w:sz w:val="21"/>
                <w:lang w:val="en-US" w:eastAsia="zh-CN"/>
              </w:rPr>
              <w:t>4</w:t>
            </w:r>
            <w:r>
              <w:rPr>
                <w:rFonts w:ascii="宋体" w:hAnsi="宋体" w:eastAsia="宋体"/>
                <w:b w:val="0"/>
                <w:sz w:val="21"/>
              </w:rPr>
              <w:t>%</w:t>
            </w:r>
          </w:p>
        </w:tc>
        <w:tc>
          <w:tcPr>
            <w:tcW w:w="2084" w:type="dxa"/>
            <w:vAlign w:val="center"/>
          </w:tcPr>
          <w:p>
            <w:pPr>
              <w:spacing w:before="0" w:after="0" w:line="240" w:lineRule="auto"/>
              <w:ind w:firstLine="0"/>
              <w:jc w:val="center"/>
            </w:pPr>
            <w:r>
              <w:rPr>
                <w:rFonts w:ascii="宋体" w:hAnsi="宋体" w:eastAsia="宋体"/>
                <w:b w:val="0"/>
                <w:sz w:val="21"/>
              </w:rPr>
              <w:t>节点性热点；国青/球星友谊赛期间播放量激增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8" w:type="dxa"/>
            <w:vAlign w:val="center"/>
          </w:tcPr>
          <w:p>
            <w:pPr>
              <w:spacing w:before="0" w:after="0" w:line="240" w:lineRule="auto"/>
              <w:ind w:firstLine="0"/>
              <w:jc w:val="center"/>
            </w:pPr>
            <w:r>
              <w:rPr>
                <w:rFonts w:ascii="宋体" w:hAnsi="宋体" w:eastAsia="宋体"/>
                <w:b w:val="0"/>
                <w:sz w:val="21"/>
              </w:rPr>
              <w:t>乡村振兴/经济增收</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1326" w:type="dxa"/>
            <w:vAlign w:val="center"/>
          </w:tcPr>
          <w:p>
            <w:pPr>
              <w:spacing w:before="0" w:after="0" w:line="240" w:lineRule="auto"/>
              <w:ind w:firstLine="0"/>
              <w:jc w:val="center"/>
            </w:pPr>
            <w:r>
              <w:rPr>
                <w:rFonts w:ascii="宋体" w:hAnsi="宋体" w:eastAsia="宋体"/>
                <w:b w:val="0"/>
                <w:sz w:val="21"/>
              </w:rPr>
              <w:t>★★★</w:t>
            </w:r>
          </w:p>
        </w:tc>
        <w:tc>
          <w:tcPr>
            <w:tcW w:w="962" w:type="dxa"/>
            <w:vAlign w:val="center"/>
          </w:tcPr>
          <w:p>
            <w:pPr>
              <w:spacing w:before="0" w:after="0" w:line="240" w:lineRule="auto"/>
              <w:ind w:firstLine="0"/>
              <w:jc w:val="center"/>
            </w:pPr>
            <w:r>
              <w:rPr>
                <w:rFonts w:ascii="宋体" w:hAnsi="宋体" w:eastAsia="宋体"/>
                <w:b w:val="0"/>
                <w:sz w:val="21"/>
              </w:rPr>
              <w:t>约3%</w:t>
            </w:r>
          </w:p>
        </w:tc>
        <w:tc>
          <w:tcPr>
            <w:tcW w:w="2084" w:type="dxa"/>
            <w:vAlign w:val="center"/>
          </w:tcPr>
          <w:p>
            <w:pPr>
              <w:spacing w:before="0" w:after="0" w:line="240" w:lineRule="auto"/>
              <w:ind w:firstLine="0"/>
              <w:jc w:val="center"/>
            </w:pPr>
            <w:r>
              <w:rPr>
                <w:rFonts w:ascii="宋体" w:hAnsi="宋体" w:eastAsia="宋体"/>
                <w:b w:val="0"/>
                <w:sz w:val="21"/>
              </w:rPr>
              <w:t>旅游综合收入1.52亿元；单场总决赛游客14.96万人次</w:t>
            </w:r>
          </w:p>
        </w:tc>
      </w:tr>
    </w:tbl>
    <w:p>
      <w:pPr>
        <w:bidi w:val="0"/>
        <w:ind w:left="0" w:leftChars="0" w:firstLine="0" w:firstLineChars="0"/>
        <w:jc w:val="center"/>
      </w:pPr>
      <w:bookmarkStart w:id="19" w:name="_Toc2763"/>
      <w:r>
        <w:drawing>
          <wp:inline distT="0" distB="0" distL="114300" distR="114300">
            <wp:extent cx="5123180" cy="1955800"/>
            <wp:effectExtent l="0" t="0" r="762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8" r:link="rId9"/>
                    <a:stretch>
                      <a:fillRect/>
                    </a:stretch>
                  </pic:blipFill>
                  <pic:spPr>
                    <a:xfrm>
                      <a:off x="0" y="0"/>
                      <a:ext cx="5123180" cy="1955800"/>
                    </a:xfrm>
                    <a:prstGeom prst="rect">
                      <a:avLst/>
                    </a:prstGeom>
                    <a:noFill/>
                    <a:ln w="9525">
                      <a:noFill/>
                    </a:ln>
                  </pic:spPr>
                </pic:pic>
              </a:graphicData>
            </a:graphic>
          </wp:inline>
        </w:drawing>
      </w:r>
    </w:p>
    <w:p>
      <w:pPr>
        <w:pStyle w:val="15"/>
        <w:bidi w:val="0"/>
        <w:ind w:left="0" w:leftChars="0" w:firstLine="0" w:firstLineChars="0"/>
        <w:jc w:val="center"/>
      </w:pPr>
      <w:r>
        <w:rPr>
          <w:rFonts w:ascii="宋体" w:hAnsi="宋体" w:eastAsia="宋体" w:cstheme="minorBidi"/>
          <w:b/>
          <w:bCs w:val="0"/>
          <w:color w:val="000000"/>
          <w:sz w:val="21"/>
          <w:szCs w:val="22"/>
          <w:lang w:val="en-US" w:eastAsia="en-US" w:bidi="ar-SA"/>
        </w:rPr>
        <w:t xml:space="preserve">图 </w:t>
      </w:r>
      <w:r>
        <w:rPr>
          <w:rFonts w:ascii="宋体" w:hAnsi="宋体" w:eastAsia="宋体" w:cstheme="minorBidi"/>
          <w:b/>
          <w:bCs w:val="0"/>
          <w:color w:val="000000"/>
          <w:sz w:val="21"/>
          <w:szCs w:val="22"/>
          <w:lang w:val="en-US" w:eastAsia="en-US" w:bidi="ar-SA"/>
        </w:rPr>
        <w:fldChar w:fldCharType="begin"/>
      </w:r>
      <w:r>
        <w:rPr>
          <w:rFonts w:ascii="宋体" w:hAnsi="宋体" w:eastAsia="宋体" w:cstheme="minorBidi"/>
          <w:b/>
          <w:bCs w:val="0"/>
          <w:color w:val="000000"/>
          <w:sz w:val="21"/>
          <w:szCs w:val="22"/>
          <w:lang w:val="en-US" w:eastAsia="en-US" w:bidi="ar-SA"/>
        </w:rPr>
        <w:instrText xml:space="preserve"> SEQ 图 \* ARABIC </w:instrText>
      </w:r>
      <w:r>
        <w:rPr>
          <w:rFonts w:ascii="宋体" w:hAnsi="宋体" w:eastAsia="宋体" w:cstheme="minorBidi"/>
          <w:b/>
          <w:bCs w:val="0"/>
          <w:color w:val="000000"/>
          <w:sz w:val="21"/>
          <w:szCs w:val="22"/>
          <w:lang w:val="en-US" w:eastAsia="en-US" w:bidi="ar-SA"/>
        </w:rPr>
        <w:fldChar w:fldCharType="separate"/>
      </w:r>
      <w:r>
        <w:rPr>
          <w:rFonts w:ascii="宋体" w:hAnsi="宋体" w:eastAsia="宋体" w:cstheme="minorBidi"/>
          <w:b/>
          <w:bCs w:val="0"/>
          <w:color w:val="000000"/>
          <w:sz w:val="21"/>
          <w:szCs w:val="22"/>
          <w:lang w:val="en-US" w:eastAsia="en-US" w:bidi="ar-SA"/>
        </w:rPr>
        <w:t>3</w:t>
      </w:r>
      <w:r>
        <w:rPr>
          <w:rFonts w:ascii="宋体" w:hAnsi="宋体" w:eastAsia="宋体" w:cstheme="minorBidi"/>
          <w:b/>
          <w:bCs w:val="0"/>
          <w:color w:val="000000"/>
          <w:sz w:val="21"/>
          <w:szCs w:val="22"/>
          <w:lang w:val="en-US" w:eastAsia="en-US" w:bidi="ar-SA"/>
        </w:rPr>
        <w:fldChar w:fldCharType="end"/>
      </w:r>
      <w:r>
        <w:rPr>
          <w:rFonts w:hint="eastAsia" w:ascii="宋体" w:hAnsi="宋体" w:eastAsia="宋体" w:cstheme="minorBidi"/>
          <w:b/>
          <w:bCs w:val="0"/>
          <w:color w:val="000000"/>
          <w:sz w:val="21"/>
          <w:szCs w:val="22"/>
          <w:lang w:val="en-US" w:eastAsia="zh-CN" w:bidi="ar-SA"/>
        </w:rPr>
        <w:t xml:space="preserve"> </w:t>
      </w:r>
      <w:r>
        <w:rPr>
          <w:rFonts w:ascii="宋体" w:hAnsi="宋体" w:eastAsia="宋体" w:cstheme="minorBidi"/>
          <w:b/>
          <w:bCs w:val="0"/>
          <w:color w:val="000000"/>
          <w:sz w:val="21"/>
          <w:szCs w:val="22"/>
          <w:lang w:val="en-US" w:eastAsia="en-US" w:bidi="ar-SA"/>
        </w:rPr>
        <w:t>贵州村超内容供给</w:t>
      </w:r>
      <w:r>
        <w:rPr>
          <w:rFonts w:hint="eastAsia" w:ascii="宋体" w:hAnsi="宋体" w:eastAsia="宋体" w:cstheme="minorBidi"/>
          <w:b/>
          <w:bCs w:val="0"/>
          <w:color w:val="000000"/>
          <w:sz w:val="21"/>
          <w:szCs w:val="22"/>
          <w:lang w:val="en-US" w:eastAsia="zh-CN" w:bidi="ar-SA"/>
        </w:rPr>
        <w:t>主题分布</w:t>
      </w:r>
    </w:p>
    <w:p>
      <w:pPr>
        <w:pStyle w:val="4"/>
      </w:pPr>
      <w:r>
        <w:rPr>
          <w:rFonts w:ascii="宋体" w:hAnsi="宋体" w:eastAsia="宋体"/>
          <w:b/>
          <w:color w:val="000000"/>
        </w:rPr>
        <w:t>（三）内容供给特征小结</w:t>
      </w:r>
      <w:bookmarkEnd w:id="19"/>
    </w:p>
    <w:p>
      <w:r>
        <w:rPr>
          <w:rFonts w:ascii="宋体" w:hAnsi="宋体" w:eastAsia="宋体"/>
          <w:b w:val="0"/>
          <w:sz w:val="24"/>
        </w:rPr>
        <w:t>内容供给数据与平台流量数据在总体排序上基本一致，但存在一个重要差异：“美食特产/文创产品”在内容供给端有约14%的潜在素材（排名第四），但在平台流量端仅占2.5%（排名第七）。这一“素材丰富但未被充分激活”的特征表明，美食特产类内容是推荐算法可以重点挖掘的蓝海领域——创作者有充足的素材储备，只是缺乏有效的算法流量支持来实现内容的充分曝光。同样，“人文故事”在内容供给端占比约10%，但在平台流量端仅占3.5%，也存在较大的激活空间。</w:t>
      </w:r>
    </w:p>
    <w:p>
      <w:r>
        <w:rPr>
          <w:rFonts w:ascii="宋体" w:hAnsi="宋体" w:eastAsia="宋体"/>
          <w:b w:val="0"/>
          <w:sz w:val="24"/>
        </w:rPr>
        <w:t>这一发现从供给端验证了平台流量分析中“头重脚轻”的格局并非源于素材匮乏，而是源于平台推荐算法的流量分配结构偏向赛事类内容。因此，调整推荐算法的主题权重分配，是解决供需错位问题的关键杠杆。</w:t>
      </w:r>
    </w:p>
    <w:p>
      <w:pPr>
        <w:pStyle w:val="3"/>
      </w:pPr>
      <w:bookmarkStart w:id="20" w:name="_Toc22362"/>
      <w:r>
        <w:rPr>
          <w:rFonts w:ascii="宋体" w:hAnsi="宋体" w:eastAsia="宋体"/>
          <w:b/>
          <w:color w:val="000000"/>
        </w:rPr>
        <w:t>五、IPA矩阵分析与供需对比</w:t>
      </w:r>
      <w:bookmarkEnd w:id="20"/>
    </w:p>
    <w:p>
      <w:pPr>
        <w:pStyle w:val="4"/>
      </w:pPr>
      <w:bookmarkStart w:id="21" w:name="_Toc505"/>
      <w:r>
        <w:rPr>
          <w:rFonts w:ascii="宋体" w:hAnsi="宋体" w:eastAsia="宋体"/>
          <w:b/>
          <w:color w:val="000000"/>
        </w:rPr>
        <w:t>（一）三表排序一致性对比</w:t>
      </w:r>
      <w:bookmarkEnd w:id="21"/>
    </w:p>
    <w:p>
      <w:r>
        <w:rPr>
          <w:rFonts w:ascii="宋体" w:hAnsi="宋体" w:eastAsia="宋体"/>
          <w:b w:val="0"/>
          <w:sz w:val="24"/>
        </w:rPr>
        <w:t>将平台流量、内容供给、受众需求三个维度的排序进行横向对比，可以直观识别哪些主题在供需两端存</w:t>
      </w:r>
      <w:bookmarkStart w:id="34" w:name="_GoBack"/>
      <w:bookmarkEnd w:id="34"/>
      <w:r>
        <w:rPr>
          <w:rFonts w:ascii="宋体" w:hAnsi="宋体" w:eastAsia="宋体"/>
          <w:b w:val="0"/>
          <w:sz w:val="24"/>
        </w:rPr>
        <w:t>在排序落差。排序差值越大，说明供需错位越严重。</w:t>
      </w:r>
    </w:p>
    <w:p>
      <w:pPr>
        <w:spacing w:before="120" w:after="60" w:line="360" w:lineRule="auto"/>
        <w:ind w:firstLine="0"/>
        <w:jc w:val="center"/>
      </w:pPr>
      <w:r>
        <w:rPr>
          <w:rFonts w:ascii="宋体" w:hAnsi="宋体" w:eastAsia="宋体"/>
          <w:b/>
          <w:sz w:val="21"/>
        </w:rPr>
        <w:t>表4 贵州村超七主题 —— 三表排序一致性对比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1220"/>
        <w:gridCol w:w="1220"/>
        <w:gridCol w:w="1220"/>
        <w:gridCol w:w="1220"/>
        <w:gridCol w:w="1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AE3F3"/>
            <w:vAlign w:val="center"/>
          </w:tcPr>
          <w:p>
            <w:pPr>
              <w:spacing w:before="0" w:after="0" w:line="240" w:lineRule="auto"/>
              <w:ind w:firstLine="0"/>
              <w:jc w:val="center"/>
            </w:pPr>
            <w:r>
              <w:rPr>
                <w:rFonts w:ascii="宋体" w:hAnsi="宋体" w:eastAsia="宋体"/>
                <w:b/>
                <w:sz w:val="21"/>
              </w:rPr>
              <w:t>内容主题</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平台流量排序</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内容供给排序</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受众需求排序</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最大排序差</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排序一致性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before="0" w:after="0" w:line="240" w:lineRule="auto"/>
              <w:ind w:firstLine="0"/>
              <w:jc w:val="center"/>
            </w:pPr>
            <w:r>
              <w:rPr>
                <w:rFonts w:ascii="宋体" w:hAnsi="宋体" w:eastAsia="宋体"/>
                <w:b w:val="0"/>
                <w:sz w:val="21"/>
              </w:rPr>
              <w:t>足球赛事集锦/精彩进球</w:t>
            </w:r>
          </w:p>
        </w:tc>
        <w:tc>
          <w:tcPr>
            <w:tcW w:w="1384" w:type="dxa"/>
            <w:vAlign w:val="center"/>
          </w:tcPr>
          <w:p>
            <w:pPr>
              <w:spacing w:before="0" w:after="0" w:line="240" w:lineRule="auto"/>
              <w:ind w:firstLine="0"/>
              <w:jc w:val="center"/>
            </w:pPr>
            <w:r>
              <w:rPr>
                <w:rFonts w:ascii="宋体" w:hAnsi="宋体" w:eastAsia="宋体"/>
                <w:b w:val="0"/>
                <w:sz w:val="21"/>
              </w:rPr>
              <w:t>1</w:t>
            </w:r>
          </w:p>
        </w:tc>
        <w:tc>
          <w:tcPr>
            <w:tcW w:w="1384" w:type="dxa"/>
            <w:vAlign w:val="center"/>
          </w:tcPr>
          <w:p>
            <w:pPr>
              <w:spacing w:before="0" w:after="0" w:line="240" w:lineRule="auto"/>
              <w:ind w:firstLine="0"/>
              <w:jc w:val="center"/>
            </w:pPr>
            <w:r>
              <w:rPr>
                <w:rFonts w:ascii="宋体" w:hAnsi="宋体" w:eastAsia="宋体"/>
                <w:b w:val="0"/>
                <w:sz w:val="21"/>
              </w:rPr>
              <w:t>1</w:t>
            </w:r>
          </w:p>
        </w:tc>
        <w:tc>
          <w:tcPr>
            <w:tcW w:w="1384" w:type="dxa"/>
            <w:vAlign w:val="center"/>
          </w:tcPr>
          <w:p>
            <w:pPr>
              <w:spacing w:before="0" w:after="0" w:line="240" w:lineRule="auto"/>
              <w:ind w:firstLine="0"/>
              <w:jc w:val="center"/>
            </w:pPr>
            <w:r>
              <w:rPr>
                <w:rFonts w:ascii="宋体" w:hAnsi="宋体" w:eastAsia="宋体"/>
                <w:b w:val="0"/>
                <w:sz w:val="21"/>
              </w:rPr>
              <w:t>4</w:t>
            </w:r>
          </w:p>
        </w:tc>
        <w:tc>
          <w:tcPr>
            <w:tcW w:w="1384" w:type="dxa"/>
            <w:vAlign w:val="center"/>
          </w:tcPr>
          <w:p>
            <w:pPr>
              <w:spacing w:before="0" w:after="0" w:line="240" w:lineRule="auto"/>
              <w:ind w:firstLine="0"/>
              <w:jc w:val="center"/>
            </w:pPr>
            <w:r>
              <w:rPr>
                <w:rFonts w:ascii="宋体" w:hAnsi="宋体" w:eastAsia="宋体"/>
                <w:b w:val="0"/>
                <w:sz w:val="21"/>
              </w:rPr>
              <w:t>3</w:t>
            </w:r>
          </w:p>
        </w:tc>
        <w:tc>
          <w:tcPr>
            <w:tcW w:w="1384" w:type="dxa"/>
            <w:vAlign w:val="center"/>
          </w:tcPr>
          <w:p>
            <w:pPr>
              <w:spacing w:before="0" w:after="0" w:line="240" w:lineRule="auto"/>
              <w:ind w:firstLine="0"/>
              <w:jc w:val="center"/>
            </w:pPr>
            <w:r>
              <w:rPr>
                <w:rFonts w:ascii="宋体" w:hAnsi="宋体" w:eastAsia="宋体"/>
                <w:b w:val="0"/>
                <w:sz w:val="21"/>
              </w:rPr>
              <w:t>部分差异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before="0" w:after="0" w:line="240" w:lineRule="auto"/>
              <w:ind w:firstLine="0"/>
              <w:jc w:val="center"/>
            </w:pPr>
            <w:r>
              <w:rPr>
                <w:rFonts w:ascii="宋体" w:hAnsi="宋体" w:eastAsia="宋体"/>
                <w:b w:val="0"/>
                <w:sz w:val="21"/>
              </w:rPr>
              <w:t>贵州村超联动</w:t>
            </w:r>
          </w:p>
        </w:tc>
        <w:tc>
          <w:tcPr>
            <w:tcW w:w="1384" w:type="dxa"/>
            <w:vAlign w:val="center"/>
          </w:tcPr>
          <w:p>
            <w:pPr>
              <w:spacing w:before="0" w:after="0" w:line="240" w:lineRule="auto"/>
              <w:ind w:firstLine="0"/>
              <w:jc w:val="center"/>
            </w:pPr>
            <w:r>
              <w:rPr>
                <w:rFonts w:ascii="宋体" w:hAnsi="宋体" w:eastAsia="宋体"/>
                <w:b w:val="0"/>
                <w:sz w:val="21"/>
              </w:rPr>
              <w:t>3</w:t>
            </w:r>
          </w:p>
        </w:tc>
        <w:tc>
          <w:tcPr>
            <w:tcW w:w="1384" w:type="dxa"/>
            <w:vAlign w:val="center"/>
          </w:tcPr>
          <w:p>
            <w:pPr>
              <w:spacing w:before="0" w:after="0" w:line="240" w:lineRule="auto"/>
              <w:ind w:firstLine="0"/>
              <w:jc w:val="center"/>
            </w:pPr>
            <w:r>
              <w:rPr>
                <w:rFonts w:ascii="宋体" w:hAnsi="宋体" w:eastAsia="宋体"/>
                <w:b w:val="0"/>
                <w:sz w:val="21"/>
              </w:rPr>
              <w:t>6</w:t>
            </w:r>
          </w:p>
        </w:tc>
        <w:tc>
          <w:tcPr>
            <w:tcW w:w="1384" w:type="dxa"/>
            <w:vAlign w:val="center"/>
          </w:tcPr>
          <w:p>
            <w:pPr>
              <w:spacing w:before="0" w:after="0" w:line="240" w:lineRule="auto"/>
              <w:ind w:firstLine="0"/>
              <w:jc w:val="center"/>
            </w:pPr>
            <w:r>
              <w:rPr>
                <w:rFonts w:ascii="宋体" w:hAnsi="宋体" w:eastAsia="宋体"/>
                <w:b w:val="0"/>
                <w:sz w:val="21"/>
              </w:rPr>
              <w:t>5</w:t>
            </w:r>
          </w:p>
        </w:tc>
        <w:tc>
          <w:tcPr>
            <w:tcW w:w="1384" w:type="dxa"/>
            <w:vAlign w:val="center"/>
          </w:tcPr>
          <w:p>
            <w:pPr>
              <w:spacing w:before="0" w:after="0" w:line="240" w:lineRule="auto"/>
              <w:ind w:firstLine="0"/>
              <w:jc w:val="center"/>
            </w:pPr>
            <w:r>
              <w:rPr>
                <w:rFonts w:ascii="宋体" w:hAnsi="宋体" w:eastAsia="宋体"/>
                <w:b w:val="0"/>
                <w:sz w:val="21"/>
              </w:rPr>
              <w:t>3</w:t>
            </w:r>
          </w:p>
        </w:tc>
        <w:tc>
          <w:tcPr>
            <w:tcW w:w="1384" w:type="dxa"/>
            <w:vAlign w:val="center"/>
          </w:tcPr>
          <w:p>
            <w:pPr>
              <w:spacing w:before="0" w:after="0" w:line="240" w:lineRule="auto"/>
              <w:ind w:firstLine="0"/>
              <w:jc w:val="center"/>
            </w:pPr>
            <w:r>
              <w:rPr>
                <w:rFonts w:ascii="宋体" w:hAnsi="宋体" w:eastAsia="宋体"/>
                <w:b w:val="0"/>
                <w:sz w:val="21"/>
              </w:rPr>
              <w:t>部分差异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before="0" w:after="0" w:line="240" w:lineRule="auto"/>
              <w:ind w:firstLine="0"/>
              <w:jc w:val="center"/>
            </w:pPr>
            <w:r>
              <w:rPr>
                <w:rFonts w:ascii="宋体" w:hAnsi="宋体" w:eastAsia="宋体"/>
                <w:b w:val="0"/>
                <w:sz w:val="21"/>
              </w:rPr>
              <w:t>本地民俗文化展示</w:t>
            </w:r>
          </w:p>
        </w:tc>
        <w:tc>
          <w:tcPr>
            <w:tcW w:w="1384" w:type="dxa"/>
            <w:vAlign w:val="center"/>
          </w:tcPr>
          <w:p>
            <w:pPr>
              <w:spacing w:before="0" w:after="0" w:line="240" w:lineRule="auto"/>
              <w:ind w:firstLine="0"/>
              <w:jc w:val="center"/>
            </w:pPr>
            <w:r>
              <w:rPr>
                <w:rFonts w:ascii="宋体" w:hAnsi="宋体" w:eastAsia="宋体"/>
                <w:b w:val="0"/>
                <w:sz w:val="21"/>
              </w:rPr>
              <w:t>2</w:t>
            </w:r>
          </w:p>
        </w:tc>
        <w:tc>
          <w:tcPr>
            <w:tcW w:w="1384" w:type="dxa"/>
            <w:vAlign w:val="center"/>
          </w:tcPr>
          <w:p>
            <w:pPr>
              <w:spacing w:before="0" w:after="0" w:line="240" w:lineRule="auto"/>
              <w:ind w:firstLine="0"/>
              <w:jc w:val="center"/>
            </w:pPr>
            <w:r>
              <w:rPr>
                <w:rFonts w:ascii="宋体" w:hAnsi="宋体" w:eastAsia="宋体"/>
                <w:b w:val="0"/>
                <w:sz w:val="21"/>
              </w:rPr>
              <w:t>2</w:t>
            </w:r>
          </w:p>
        </w:tc>
        <w:tc>
          <w:tcPr>
            <w:tcW w:w="1384" w:type="dxa"/>
            <w:vAlign w:val="center"/>
          </w:tcPr>
          <w:p>
            <w:pPr>
              <w:spacing w:before="0" w:after="0" w:line="240" w:lineRule="auto"/>
              <w:ind w:firstLine="0"/>
              <w:jc w:val="center"/>
            </w:pPr>
            <w:r>
              <w:rPr>
                <w:rFonts w:ascii="宋体" w:hAnsi="宋体" w:eastAsia="宋体"/>
                <w:b w:val="0"/>
                <w:sz w:val="21"/>
              </w:rPr>
              <w:t>1</w:t>
            </w:r>
          </w:p>
        </w:tc>
        <w:tc>
          <w:tcPr>
            <w:tcW w:w="1384" w:type="dxa"/>
            <w:vAlign w:val="center"/>
          </w:tcPr>
          <w:p>
            <w:pPr>
              <w:spacing w:before="0" w:after="0" w:line="240" w:lineRule="auto"/>
              <w:ind w:firstLine="0"/>
              <w:jc w:val="center"/>
            </w:pPr>
            <w:r>
              <w:rPr>
                <w:rFonts w:ascii="宋体" w:hAnsi="宋体" w:eastAsia="宋体"/>
                <w:b w:val="0"/>
                <w:sz w:val="21"/>
              </w:rPr>
              <w:t>1</w:t>
            </w:r>
          </w:p>
        </w:tc>
        <w:tc>
          <w:tcPr>
            <w:tcW w:w="1384" w:type="dxa"/>
            <w:vAlign w:val="center"/>
          </w:tcPr>
          <w:p>
            <w:pPr>
              <w:spacing w:before="0" w:after="0" w:line="240" w:lineRule="auto"/>
              <w:ind w:firstLine="0"/>
              <w:jc w:val="center"/>
            </w:pPr>
            <w:r>
              <w:rPr>
                <w:rFonts w:ascii="宋体" w:hAnsi="宋体" w:eastAsia="宋体"/>
                <w:b w:val="0"/>
                <w:sz w:val="21"/>
              </w:rPr>
              <w:t>高度一致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before="0" w:after="0" w:line="240" w:lineRule="auto"/>
              <w:ind w:firstLine="0"/>
              <w:jc w:val="center"/>
            </w:pPr>
            <w:r>
              <w:rPr>
                <w:rFonts w:ascii="宋体" w:hAnsi="宋体" w:eastAsia="宋体"/>
                <w:b w:val="0"/>
                <w:sz w:val="21"/>
              </w:rPr>
              <w:t>美食特产/文创产品</w:t>
            </w:r>
          </w:p>
        </w:tc>
        <w:tc>
          <w:tcPr>
            <w:tcW w:w="1384" w:type="dxa"/>
            <w:vAlign w:val="center"/>
          </w:tcPr>
          <w:p>
            <w:pPr>
              <w:spacing w:before="0" w:after="0" w:line="240" w:lineRule="auto"/>
              <w:ind w:firstLine="0"/>
              <w:jc w:val="center"/>
            </w:pPr>
            <w:r>
              <w:rPr>
                <w:rFonts w:ascii="宋体" w:hAnsi="宋体" w:eastAsia="宋体"/>
                <w:b w:val="0"/>
                <w:sz w:val="21"/>
              </w:rPr>
              <w:t>7</w:t>
            </w:r>
          </w:p>
        </w:tc>
        <w:tc>
          <w:tcPr>
            <w:tcW w:w="1384" w:type="dxa"/>
            <w:vAlign w:val="center"/>
          </w:tcPr>
          <w:p>
            <w:pPr>
              <w:spacing w:before="0" w:after="0" w:line="240" w:lineRule="auto"/>
              <w:ind w:firstLine="0"/>
              <w:jc w:val="center"/>
            </w:pPr>
            <w:r>
              <w:rPr>
                <w:rFonts w:ascii="宋体" w:hAnsi="宋体" w:eastAsia="宋体"/>
                <w:b w:val="0"/>
                <w:sz w:val="21"/>
              </w:rPr>
              <w:t>4</w:t>
            </w:r>
          </w:p>
        </w:tc>
        <w:tc>
          <w:tcPr>
            <w:tcW w:w="1384" w:type="dxa"/>
            <w:vAlign w:val="center"/>
          </w:tcPr>
          <w:p>
            <w:pPr>
              <w:spacing w:before="0" w:after="0" w:line="240" w:lineRule="auto"/>
              <w:ind w:firstLine="0"/>
              <w:jc w:val="center"/>
            </w:pPr>
            <w:r>
              <w:rPr>
                <w:rFonts w:ascii="宋体" w:hAnsi="宋体" w:eastAsia="宋体"/>
                <w:b w:val="0"/>
                <w:sz w:val="21"/>
              </w:rPr>
              <w:t>2</w:t>
            </w:r>
          </w:p>
        </w:tc>
        <w:tc>
          <w:tcPr>
            <w:tcW w:w="1384" w:type="dxa"/>
            <w:vAlign w:val="center"/>
          </w:tcPr>
          <w:p>
            <w:pPr>
              <w:spacing w:before="0" w:after="0" w:line="240" w:lineRule="auto"/>
              <w:ind w:firstLine="0"/>
              <w:jc w:val="center"/>
            </w:pPr>
            <w:r>
              <w:rPr>
                <w:rFonts w:ascii="宋体" w:hAnsi="宋体" w:eastAsia="宋体"/>
                <w:b w:val="0"/>
                <w:sz w:val="21"/>
              </w:rPr>
              <w:t>5</w:t>
            </w:r>
          </w:p>
        </w:tc>
        <w:tc>
          <w:tcPr>
            <w:tcW w:w="1384" w:type="dxa"/>
            <w:vAlign w:val="center"/>
          </w:tcPr>
          <w:p>
            <w:pPr>
              <w:spacing w:before="0" w:after="0" w:line="240" w:lineRule="auto"/>
              <w:ind w:firstLine="0"/>
              <w:jc w:val="center"/>
            </w:pPr>
            <w:r>
              <w:rPr>
                <w:rFonts w:ascii="宋体" w:hAnsi="宋体" w:eastAsia="宋体"/>
                <w:b w:val="0"/>
                <w:sz w:val="21"/>
              </w:rPr>
              <w:t>显著差异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before="0" w:after="0" w:line="240" w:lineRule="auto"/>
              <w:ind w:firstLine="0"/>
              <w:jc w:val="center"/>
            </w:pPr>
            <w:r>
              <w:rPr>
                <w:rFonts w:ascii="宋体" w:hAnsi="宋体" w:eastAsia="宋体"/>
                <w:b w:val="0"/>
                <w:sz w:val="21"/>
              </w:rPr>
              <w:t>现场气氛</w:t>
            </w:r>
          </w:p>
        </w:tc>
        <w:tc>
          <w:tcPr>
            <w:tcW w:w="1384" w:type="dxa"/>
            <w:vAlign w:val="center"/>
          </w:tcPr>
          <w:p>
            <w:pPr>
              <w:spacing w:before="0" w:after="0" w:line="240" w:lineRule="auto"/>
              <w:ind w:firstLine="0"/>
              <w:jc w:val="center"/>
            </w:pPr>
            <w:r>
              <w:rPr>
                <w:rFonts w:ascii="宋体" w:hAnsi="宋体" w:eastAsia="宋体"/>
                <w:b w:val="0"/>
                <w:sz w:val="21"/>
              </w:rPr>
              <w:t>4</w:t>
            </w:r>
          </w:p>
        </w:tc>
        <w:tc>
          <w:tcPr>
            <w:tcW w:w="1384" w:type="dxa"/>
            <w:vAlign w:val="center"/>
          </w:tcPr>
          <w:p>
            <w:pPr>
              <w:spacing w:before="0" w:after="0" w:line="240" w:lineRule="auto"/>
              <w:ind w:firstLine="0"/>
              <w:jc w:val="center"/>
            </w:pPr>
            <w:r>
              <w:rPr>
                <w:rFonts w:ascii="宋体" w:hAnsi="宋体" w:eastAsia="宋体"/>
                <w:b w:val="0"/>
                <w:sz w:val="21"/>
              </w:rPr>
              <w:t>3</w:t>
            </w:r>
          </w:p>
        </w:tc>
        <w:tc>
          <w:tcPr>
            <w:tcW w:w="1384" w:type="dxa"/>
            <w:vAlign w:val="center"/>
          </w:tcPr>
          <w:p>
            <w:pPr>
              <w:spacing w:before="0" w:after="0" w:line="240" w:lineRule="auto"/>
              <w:ind w:firstLine="0"/>
              <w:jc w:val="center"/>
            </w:pPr>
            <w:r>
              <w:rPr>
                <w:rFonts w:ascii="宋体" w:hAnsi="宋体" w:eastAsia="宋体"/>
                <w:b w:val="0"/>
                <w:sz w:val="21"/>
              </w:rPr>
              <w:t>3</w:t>
            </w:r>
          </w:p>
        </w:tc>
        <w:tc>
          <w:tcPr>
            <w:tcW w:w="1384" w:type="dxa"/>
            <w:vAlign w:val="center"/>
          </w:tcPr>
          <w:p>
            <w:pPr>
              <w:spacing w:before="0" w:after="0" w:line="240" w:lineRule="auto"/>
              <w:ind w:firstLine="0"/>
              <w:jc w:val="center"/>
            </w:pPr>
            <w:r>
              <w:rPr>
                <w:rFonts w:ascii="宋体" w:hAnsi="宋体" w:eastAsia="宋体"/>
                <w:b w:val="0"/>
                <w:sz w:val="21"/>
              </w:rPr>
              <w:t>1</w:t>
            </w:r>
          </w:p>
        </w:tc>
        <w:tc>
          <w:tcPr>
            <w:tcW w:w="1384" w:type="dxa"/>
            <w:vAlign w:val="center"/>
          </w:tcPr>
          <w:p>
            <w:pPr>
              <w:spacing w:before="0" w:after="0" w:line="240" w:lineRule="auto"/>
              <w:ind w:firstLine="0"/>
              <w:jc w:val="center"/>
            </w:pPr>
            <w:r>
              <w:rPr>
                <w:rFonts w:ascii="宋体" w:hAnsi="宋体" w:eastAsia="宋体"/>
                <w:b w:val="0"/>
                <w:sz w:val="21"/>
              </w:rPr>
              <w:t>高度一致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before="0" w:after="0" w:line="240" w:lineRule="auto"/>
              <w:ind w:firstLine="0"/>
              <w:jc w:val="center"/>
            </w:pPr>
            <w:r>
              <w:rPr>
                <w:rFonts w:ascii="宋体" w:hAnsi="宋体" w:eastAsia="宋体"/>
                <w:b w:val="0"/>
                <w:sz w:val="21"/>
              </w:rPr>
              <w:t>人文故事</w:t>
            </w:r>
          </w:p>
        </w:tc>
        <w:tc>
          <w:tcPr>
            <w:tcW w:w="1384" w:type="dxa"/>
            <w:vAlign w:val="center"/>
          </w:tcPr>
          <w:p>
            <w:pPr>
              <w:spacing w:before="0" w:after="0" w:line="240" w:lineRule="auto"/>
              <w:ind w:firstLine="0"/>
              <w:jc w:val="center"/>
            </w:pPr>
            <w:r>
              <w:rPr>
                <w:rFonts w:ascii="宋体" w:hAnsi="宋体" w:eastAsia="宋体"/>
                <w:b w:val="0"/>
                <w:sz w:val="21"/>
              </w:rPr>
              <w:t>6</w:t>
            </w:r>
          </w:p>
        </w:tc>
        <w:tc>
          <w:tcPr>
            <w:tcW w:w="1384" w:type="dxa"/>
            <w:vAlign w:val="center"/>
          </w:tcPr>
          <w:p>
            <w:pPr>
              <w:spacing w:before="0" w:after="0" w:line="240" w:lineRule="auto"/>
              <w:ind w:firstLine="0"/>
              <w:jc w:val="center"/>
            </w:pPr>
            <w:r>
              <w:rPr>
                <w:rFonts w:ascii="宋体" w:hAnsi="宋体" w:eastAsia="宋体"/>
                <w:b w:val="0"/>
                <w:sz w:val="21"/>
              </w:rPr>
              <w:t>5</w:t>
            </w:r>
          </w:p>
        </w:tc>
        <w:tc>
          <w:tcPr>
            <w:tcW w:w="1384" w:type="dxa"/>
            <w:vAlign w:val="center"/>
          </w:tcPr>
          <w:p>
            <w:pPr>
              <w:spacing w:before="0" w:after="0" w:line="240" w:lineRule="auto"/>
              <w:ind w:firstLine="0"/>
              <w:jc w:val="center"/>
            </w:pPr>
            <w:r>
              <w:rPr>
                <w:rFonts w:ascii="宋体" w:hAnsi="宋体" w:eastAsia="宋体"/>
                <w:b w:val="0"/>
                <w:sz w:val="21"/>
              </w:rPr>
              <w:t>7</w:t>
            </w:r>
          </w:p>
        </w:tc>
        <w:tc>
          <w:tcPr>
            <w:tcW w:w="1384" w:type="dxa"/>
            <w:vAlign w:val="center"/>
          </w:tcPr>
          <w:p>
            <w:pPr>
              <w:spacing w:before="0" w:after="0" w:line="240" w:lineRule="auto"/>
              <w:ind w:firstLine="0"/>
              <w:jc w:val="center"/>
            </w:pPr>
            <w:r>
              <w:rPr>
                <w:rFonts w:ascii="宋体" w:hAnsi="宋体" w:eastAsia="宋体"/>
                <w:b w:val="0"/>
                <w:sz w:val="21"/>
              </w:rPr>
              <w:t>2</w:t>
            </w:r>
          </w:p>
        </w:tc>
        <w:tc>
          <w:tcPr>
            <w:tcW w:w="1384" w:type="dxa"/>
            <w:vAlign w:val="center"/>
          </w:tcPr>
          <w:p>
            <w:pPr>
              <w:spacing w:before="0" w:after="0" w:line="240" w:lineRule="auto"/>
              <w:ind w:firstLine="0"/>
              <w:jc w:val="center"/>
            </w:pPr>
            <w:r>
              <w:rPr>
                <w:rFonts w:ascii="宋体" w:hAnsi="宋体" w:eastAsia="宋体"/>
                <w:b w:val="0"/>
                <w:sz w:val="21"/>
              </w:rPr>
              <w:t>基本一致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before="0" w:after="0" w:line="240" w:lineRule="auto"/>
              <w:ind w:firstLine="0"/>
              <w:jc w:val="center"/>
            </w:pPr>
            <w:r>
              <w:rPr>
                <w:rFonts w:ascii="宋体" w:hAnsi="宋体" w:eastAsia="宋体"/>
                <w:b w:val="0"/>
                <w:sz w:val="21"/>
              </w:rPr>
              <w:t>乡村振兴/经济增收</w:t>
            </w:r>
          </w:p>
        </w:tc>
        <w:tc>
          <w:tcPr>
            <w:tcW w:w="1384" w:type="dxa"/>
            <w:vAlign w:val="center"/>
          </w:tcPr>
          <w:p>
            <w:pPr>
              <w:spacing w:before="0" w:after="0" w:line="240" w:lineRule="auto"/>
              <w:ind w:firstLine="0"/>
              <w:jc w:val="center"/>
            </w:pPr>
            <w:r>
              <w:rPr>
                <w:rFonts w:ascii="宋体" w:hAnsi="宋体" w:eastAsia="宋体"/>
                <w:b w:val="0"/>
                <w:sz w:val="21"/>
              </w:rPr>
              <w:t>5</w:t>
            </w:r>
          </w:p>
        </w:tc>
        <w:tc>
          <w:tcPr>
            <w:tcW w:w="1384" w:type="dxa"/>
            <w:vAlign w:val="center"/>
          </w:tcPr>
          <w:p>
            <w:pPr>
              <w:spacing w:before="0" w:after="0" w:line="240" w:lineRule="auto"/>
              <w:ind w:firstLine="0"/>
              <w:jc w:val="center"/>
            </w:pPr>
            <w:r>
              <w:rPr>
                <w:rFonts w:ascii="宋体" w:hAnsi="宋体" w:eastAsia="宋体"/>
                <w:b w:val="0"/>
                <w:sz w:val="21"/>
              </w:rPr>
              <w:t>7</w:t>
            </w:r>
          </w:p>
        </w:tc>
        <w:tc>
          <w:tcPr>
            <w:tcW w:w="1384" w:type="dxa"/>
            <w:vAlign w:val="center"/>
          </w:tcPr>
          <w:p>
            <w:pPr>
              <w:spacing w:before="0" w:after="0" w:line="240" w:lineRule="auto"/>
              <w:ind w:firstLine="0"/>
              <w:jc w:val="center"/>
            </w:pPr>
            <w:r>
              <w:rPr>
                <w:rFonts w:ascii="宋体" w:hAnsi="宋体" w:eastAsia="宋体"/>
                <w:b w:val="0"/>
                <w:sz w:val="21"/>
              </w:rPr>
              <w:t>6</w:t>
            </w:r>
          </w:p>
        </w:tc>
        <w:tc>
          <w:tcPr>
            <w:tcW w:w="1384" w:type="dxa"/>
            <w:vAlign w:val="center"/>
          </w:tcPr>
          <w:p>
            <w:pPr>
              <w:spacing w:before="0" w:after="0" w:line="240" w:lineRule="auto"/>
              <w:ind w:firstLine="0"/>
              <w:jc w:val="center"/>
            </w:pPr>
            <w:r>
              <w:rPr>
                <w:rFonts w:ascii="宋体" w:hAnsi="宋体" w:eastAsia="宋体"/>
                <w:b w:val="0"/>
                <w:sz w:val="21"/>
              </w:rPr>
              <w:t>2</w:t>
            </w:r>
          </w:p>
        </w:tc>
        <w:tc>
          <w:tcPr>
            <w:tcW w:w="1384" w:type="dxa"/>
            <w:vAlign w:val="center"/>
          </w:tcPr>
          <w:p>
            <w:pPr>
              <w:spacing w:before="0" w:after="0" w:line="240" w:lineRule="auto"/>
              <w:ind w:firstLine="0"/>
              <w:jc w:val="center"/>
            </w:pPr>
            <w:r>
              <w:rPr>
                <w:rFonts w:ascii="宋体" w:hAnsi="宋体" w:eastAsia="宋体"/>
                <w:b w:val="0"/>
                <w:sz w:val="21"/>
              </w:rPr>
              <w:t>基本一致</w:t>
            </w:r>
          </w:p>
        </w:tc>
      </w:tr>
    </w:tbl>
    <w:p>
      <w:r>
        <w:rPr>
          <w:rFonts w:ascii="宋体" w:hAnsi="宋体" w:eastAsia="宋体"/>
          <w:b w:val="0"/>
          <w:sz w:val="24"/>
        </w:rPr>
        <w:t>排序对比显示，“现场气氛”和“本地民俗文化展示”在三表中排序高度一致，表明这两类内容的供需格局相对稳定。而“美食特产/文创产品”的排序落差最大——受众需求排序第1，平台流量排序第7——排序差为6个位次，是所有主题中最突出的供需错位。这一数据表明，美食特产类内容“受众最想要”但“平台最不推”，是AI推荐算法最亟需介入的领域。</w:t>
      </w:r>
    </w:p>
    <w:p>
      <w:pPr>
        <w:pStyle w:val="4"/>
      </w:pPr>
      <w:bookmarkStart w:id="22" w:name="_Toc27294"/>
      <w:r>
        <w:rPr>
          <w:rFonts w:ascii="宋体" w:hAnsi="宋体" w:eastAsia="宋体"/>
          <w:b/>
          <w:color w:val="000000"/>
        </w:rPr>
        <w:t>（</w:t>
      </w:r>
      <w:r>
        <w:rPr>
          <w:rFonts w:hint="eastAsia" w:ascii="宋体" w:hAnsi="宋体" w:eastAsia="宋体"/>
          <w:b/>
          <w:color w:val="000000"/>
          <w:lang w:val="en-US" w:eastAsia="zh-CN"/>
        </w:rPr>
        <w:t>二</w:t>
      </w:r>
      <w:r>
        <w:rPr>
          <w:rFonts w:ascii="宋体" w:hAnsi="宋体" w:eastAsia="宋体"/>
          <w:b/>
          <w:color w:val="000000"/>
        </w:rPr>
        <w:t>）IPA矩阵分析</w:t>
      </w:r>
      <w:bookmarkEnd w:id="22"/>
    </w:p>
    <w:p>
      <w:pPr>
        <w:pStyle w:val="5"/>
        <w:ind w:firstLine="482" w:firstLineChars="200"/>
        <w:rPr>
          <w:rFonts w:hint="default" w:eastAsia="宋体"/>
          <w:lang w:val="en-US" w:eastAsia="zh-CN"/>
        </w:rPr>
      </w:pPr>
      <w:bookmarkStart w:id="23" w:name="_Toc409"/>
      <w:r>
        <w:rPr>
          <w:rFonts w:ascii="宋体" w:hAnsi="宋体" w:eastAsia="宋体"/>
          <w:b/>
          <w:color w:val="000000"/>
        </w:rPr>
        <w:t>1、</w:t>
      </w:r>
      <w:r>
        <w:rPr>
          <w:rFonts w:hint="eastAsia" w:ascii="宋体" w:hAnsi="宋体" w:eastAsia="宋体"/>
          <w:b/>
          <w:color w:val="000000"/>
          <w:lang w:val="en-US" w:eastAsia="zh-CN"/>
        </w:rPr>
        <w:t>IPA矩阵</w:t>
      </w:r>
      <w:bookmarkEnd w:id="23"/>
    </w:p>
    <w:p>
      <w:pPr>
        <w:bidi w:val="0"/>
        <w:rPr>
          <w:rFonts w:hint="eastAsia"/>
        </w:rPr>
      </w:pPr>
      <w:r>
        <w:rPr>
          <w:rFonts w:hint="eastAsia"/>
        </w:rPr>
        <w:t>本报告将社媒声量比例作为横坐标、公众关注比例作为纵坐标，计算两个指标Z值后进行标准化处理，坐标0点为均值点，得到内容主题的“声量-关注”分析矩阵，如下图。</w:t>
      </w:r>
    </w:p>
    <w:p>
      <w:pPr>
        <w:spacing w:before="120" w:after="60" w:line="360" w:lineRule="auto"/>
        <w:ind w:firstLine="0"/>
        <w:jc w:val="center"/>
      </w:pPr>
      <w:r>
        <w:rPr>
          <w:rFonts w:ascii="宋体" w:hAnsi="宋体" w:eastAsia="宋体"/>
          <w:b/>
          <w:sz w:val="21"/>
        </w:rPr>
        <w:t>表6 贵州村超七主题 —— IPA矩阵Z值分析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149"/>
        <w:gridCol w:w="1149"/>
        <w:gridCol w:w="1188"/>
        <w:gridCol w:w="1188"/>
        <w:gridCol w:w="2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AE3F3"/>
            <w:vAlign w:val="center"/>
          </w:tcPr>
          <w:p>
            <w:pPr>
              <w:spacing w:before="0" w:after="0" w:line="240" w:lineRule="auto"/>
              <w:ind w:firstLine="0"/>
              <w:jc w:val="center"/>
            </w:pPr>
            <w:r>
              <w:rPr>
                <w:rFonts w:ascii="宋体" w:hAnsi="宋体" w:eastAsia="宋体"/>
                <w:b/>
                <w:sz w:val="21"/>
              </w:rPr>
              <w:t>内容主题</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平台流量占比</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受众需求占比</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供给Z值</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需求Z值</w:t>
            </w:r>
          </w:p>
        </w:tc>
        <w:tc>
          <w:tcPr>
            <w:tcW w:w="2835" w:type="dxa"/>
            <w:shd w:val="clear" w:color="auto" w:fill="DAE3F3"/>
            <w:vAlign w:val="center"/>
          </w:tcPr>
          <w:p>
            <w:pPr>
              <w:spacing w:before="0" w:after="0" w:line="240" w:lineRule="auto"/>
              <w:ind w:firstLine="0"/>
              <w:jc w:val="center"/>
            </w:pPr>
            <w:r>
              <w:rPr>
                <w:rFonts w:ascii="宋体" w:hAnsi="宋体" w:eastAsia="宋体"/>
                <w:b/>
                <w:sz w:val="21"/>
              </w:rPr>
              <w:t>IPA象限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足球赛事集锦/精彩进球</w:t>
            </w:r>
          </w:p>
        </w:tc>
        <w:tc>
          <w:tcPr>
            <w:tcW w:w="1384" w:type="dxa"/>
            <w:vAlign w:val="center"/>
          </w:tcPr>
          <w:p>
            <w:pPr>
              <w:spacing w:before="0" w:after="0" w:line="240" w:lineRule="auto"/>
              <w:ind w:firstLine="0"/>
              <w:jc w:val="center"/>
            </w:pPr>
            <w:r>
              <w:rPr>
                <w:rFonts w:ascii="宋体" w:hAnsi="宋体" w:eastAsia="宋体"/>
                <w:b w:val="0"/>
                <w:sz w:val="21"/>
              </w:rPr>
              <w:t>48.5%</w:t>
            </w:r>
          </w:p>
        </w:tc>
        <w:tc>
          <w:tcPr>
            <w:tcW w:w="1384" w:type="dxa"/>
            <w:vAlign w:val="center"/>
          </w:tcPr>
          <w:p>
            <w:pPr>
              <w:spacing w:before="0" w:after="0" w:line="240" w:lineRule="auto"/>
              <w:ind w:firstLine="0"/>
              <w:jc w:val="center"/>
            </w:pPr>
            <w:r>
              <w:rPr>
                <w:rFonts w:ascii="宋体" w:hAnsi="宋体" w:eastAsia="宋体"/>
                <w:b w:val="0"/>
                <w:sz w:val="21"/>
              </w:rPr>
              <w:t>37.5%</w:t>
            </w:r>
          </w:p>
        </w:tc>
        <w:tc>
          <w:tcPr>
            <w:tcW w:w="1384" w:type="dxa"/>
            <w:vAlign w:val="center"/>
          </w:tcPr>
          <w:p>
            <w:pPr>
              <w:spacing w:before="0" w:after="0" w:line="240" w:lineRule="auto"/>
              <w:ind w:firstLine="0"/>
              <w:jc w:val="center"/>
            </w:pPr>
            <w:r>
              <w:rPr>
                <w:rFonts w:ascii="宋体" w:hAnsi="宋体" w:eastAsia="宋体"/>
                <w:b w:val="0"/>
                <w:sz w:val="21"/>
              </w:rPr>
              <w:t>Z=2.06</w:t>
            </w:r>
          </w:p>
        </w:tc>
        <w:tc>
          <w:tcPr>
            <w:tcW w:w="1384" w:type="dxa"/>
            <w:vAlign w:val="center"/>
          </w:tcPr>
          <w:p>
            <w:pPr>
              <w:spacing w:before="0" w:after="0" w:line="240" w:lineRule="auto"/>
              <w:ind w:firstLine="0"/>
              <w:jc w:val="center"/>
            </w:pPr>
            <w:r>
              <w:rPr>
                <w:rFonts w:ascii="宋体" w:hAnsi="宋体" w:eastAsia="宋体"/>
                <w:b w:val="0"/>
                <w:sz w:val="21"/>
              </w:rPr>
              <w:t>Z=-0.10</w:t>
            </w:r>
          </w:p>
        </w:tc>
        <w:tc>
          <w:tcPr>
            <w:tcW w:w="2835" w:type="dxa"/>
            <w:vAlign w:val="center"/>
          </w:tcPr>
          <w:p>
            <w:pPr>
              <w:spacing w:before="0" w:after="0" w:line="240" w:lineRule="auto"/>
              <w:ind w:firstLine="0"/>
              <w:jc w:val="center"/>
            </w:pPr>
            <w:r>
              <w:rPr>
                <w:rFonts w:ascii="宋体" w:hAnsi="宋体" w:eastAsia="宋体"/>
                <w:b w:val="0"/>
                <w:sz w:val="21"/>
              </w:rPr>
              <w:t>象限IV：低回报区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贵州村超联动</w:t>
            </w:r>
          </w:p>
        </w:tc>
        <w:tc>
          <w:tcPr>
            <w:tcW w:w="1384" w:type="dxa"/>
            <w:vAlign w:val="center"/>
          </w:tcPr>
          <w:p>
            <w:pPr>
              <w:spacing w:before="0" w:after="0" w:line="240" w:lineRule="auto"/>
              <w:ind w:firstLine="0"/>
              <w:jc w:val="center"/>
            </w:pPr>
            <w:r>
              <w:rPr>
                <w:rFonts w:ascii="宋体" w:hAnsi="宋体" w:eastAsia="宋体"/>
                <w:b w:val="0"/>
                <w:sz w:val="21"/>
              </w:rPr>
              <w:t>19.8%</w:t>
            </w:r>
          </w:p>
        </w:tc>
        <w:tc>
          <w:tcPr>
            <w:tcW w:w="1384" w:type="dxa"/>
            <w:vAlign w:val="center"/>
          </w:tcPr>
          <w:p>
            <w:pPr>
              <w:spacing w:before="0" w:after="0" w:line="240" w:lineRule="auto"/>
              <w:ind w:firstLine="0"/>
              <w:jc w:val="center"/>
            </w:pPr>
            <w:r>
              <w:rPr>
                <w:rFonts w:ascii="宋体" w:hAnsi="宋体" w:eastAsia="宋体"/>
                <w:b w:val="0"/>
                <w:sz w:val="21"/>
              </w:rPr>
              <w:t>25.0%</w:t>
            </w:r>
          </w:p>
        </w:tc>
        <w:tc>
          <w:tcPr>
            <w:tcW w:w="1384" w:type="dxa"/>
            <w:vAlign w:val="center"/>
          </w:tcPr>
          <w:p>
            <w:pPr>
              <w:spacing w:before="0" w:after="0" w:line="240" w:lineRule="auto"/>
              <w:ind w:firstLine="0"/>
              <w:jc w:val="center"/>
            </w:pPr>
            <w:r>
              <w:rPr>
                <w:rFonts w:ascii="宋体" w:hAnsi="宋体" w:eastAsia="宋体"/>
                <w:b w:val="0"/>
                <w:sz w:val="21"/>
              </w:rPr>
              <w:t>Z=0.18</w:t>
            </w:r>
          </w:p>
        </w:tc>
        <w:tc>
          <w:tcPr>
            <w:tcW w:w="1384" w:type="dxa"/>
            <w:vAlign w:val="center"/>
          </w:tcPr>
          <w:p>
            <w:pPr>
              <w:spacing w:before="0" w:after="0" w:line="240" w:lineRule="auto"/>
              <w:ind w:firstLine="0"/>
              <w:jc w:val="center"/>
            </w:pPr>
            <w:r>
              <w:rPr>
                <w:rFonts w:ascii="宋体" w:hAnsi="宋体" w:eastAsia="宋体"/>
                <w:b w:val="0"/>
                <w:sz w:val="21"/>
              </w:rPr>
              <w:t>Z=-0.78</w:t>
            </w:r>
          </w:p>
        </w:tc>
        <w:tc>
          <w:tcPr>
            <w:tcW w:w="2835" w:type="dxa"/>
            <w:vAlign w:val="center"/>
          </w:tcPr>
          <w:p>
            <w:pPr>
              <w:spacing w:before="0" w:after="0" w:line="240" w:lineRule="auto"/>
              <w:ind w:firstLine="0"/>
              <w:jc w:val="center"/>
            </w:pPr>
            <w:r>
              <w:rPr>
                <w:rFonts w:ascii="宋体" w:hAnsi="宋体" w:eastAsia="宋体"/>
                <w:b w:val="0"/>
                <w:sz w:val="21"/>
              </w:rPr>
              <w:t>象限IV：低回报区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本地民俗文化展示</w:t>
            </w:r>
          </w:p>
        </w:tc>
        <w:tc>
          <w:tcPr>
            <w:tcW w:w="1384" w:type="dxa"/>
            <w:vAlign w:val="center"/>
          </w:tcPr>
          <w:p>
            <w:pPr>
              <w:spacing w:before="0" w:after="0" w:line="240" w:lineRule="auto"/>
              <w:ind w:firstLine="0"/>
              <w:jc w:val="center"/>
            </w:pPr>
            <w:r>
              <w:rPr>
                <w:rFonts w:ascii="宋体" w:hAnsi="宋体" w:eastAsia="宋体"/>
                <w:b w:val="0"/>
                <w:sz w:val="21"/>
              </w:rPr>
              <w:t>25.7%</w:t>
            </w:r>
          </w:p>
        </w:tc>
        <w:tc>
          <w:tcPr>
            <w:tcW w:w="1384" w:type="dxa"/>
            <w:vAlign w:val="center"/>
          </w:tcPr>
          <w:p>
            <w:pPr>
              <w:spacing w:before="0" w:after="0" w:line="240" w:lineRule="auto"/>
              <w:ind w:firstLine="0"/>
              <w:jc w:val="center"/>
            </w:pPr>
            <w:r>
              <w:rPr>
                <w:rFonts w:ascii="宋体" w:hAnsi="宋体" w:eastAsia="宋体"/>
                <w:b w:val="0"/>
                <w:sz w:val="21"/>
              </w:rPr>
              <w:t>62.5%</w:t>
            </w:r>
          </w:p>
        </w:tc>
        <w:tc>
          <w:tcPr>
            <w:tcW w:w="1384" w:type="dxa"/>
            <w:vAlign w:val="center"/>
          </w:tcPr>
          <w:p>
            <w:pPr>
              <w:spacing w:before="0" w:after="0" w:line="240" w:lineRule="auto"/>
              <w:ind w:firstLine="0"/>
              <w:jc w:val="center"/>
            </w:pPr>
            <w:r>
              <w:rPr>
                <w:rFonts w:ascii="宋体" w:hAnsi="宋体" w:eastAsia="宋体"/>
                <w:b w:val="0"/>
                <w:sz w:val="21"/>
              </w:rPr>
              <w:t>Z=0.57</w:t>
            </w:r>
          </w:p>
        </w:tc>
        <w:tc>
          <w:tcPr>
            <w:tcW w:w="1384" w:type="dxa"/>
            <w:vAlign w:val="center"/>
          </w:tcPr>
          <w:p>
            <w:pPr>
              <w:spacing w:before="0" w:after="0" w:line="240" w:lineRule="auto"/>
              <w:ind w:firstLine="0"/>
              <w:jc w:val="center"/>
            </w:pPr>
            <w:r>
              <w:rPr>
                <w:rFonts w:ascii="宋体" w:hAnsi="宋体" w:eastAsia="宋体"/>
                <w:b w:val="0"/>
                <w:sz w:val="21"/>
              </w:rPr>
              <w:t>Z=1.27</w:t>
            </w:r>
          </w:p>
        </w:tc>
        <w:tc>
          <w:tcPr>
            <w:tcW w:w="2835" w:type="dxa"/>
            <w:vAlign w:val="center"/>
          </w:tcPr>
          <w:p>
            <w:pPr>
              <w:spacing w:before="0" w:after="0" w:line="240" w:lineRule="auto"/>
              <w:ind w:firstLine="0"/>
              <w:jc w:val="center"/>
            </w:pPr>
            <w:r>
              <w:rPr>
                <w:rFonts w:ascii="宋体" w:hAnsi="宋体" w:eastAsia="宋体"/>
                <w:b w:val="0"/>
                <w:sz w:val="21"/>
              </w:rPr>
              <w:t>象限I：优势区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美食特产/文创产品</w:t>
            </w:r>
          </w:p>
        </w:tc>
        <w:tc>
          <w:tcPr>
            <w:tcW w:w="1384" w:type="dxa"/>
            <w:vAlign w:val="center"/>
          </w:tcPr>
          <w:p>
            <w:pPr>
              <w:spacing w:before="0" w:after="0" w:line="240" w:lineRule="auto"/>
              <w:ind w:firstLine="0"/>
              <w:jc w:val="center"/>
            </w:pPr>
            <w:r>
              <w:rPr>
                <w:rFonts w:ascii="宋体" w:hAnsi="宋体" w:eastAsia="宋体"/>
                <w:b w:val="0"/>
                <w:sz w:val="21"/>
              </w:rPr>
              <w:t>2.5%</w:t>
            </w:r>
          </w:p>
        </w:tc>
        <w:tc>
          <w:tcPr>
            <w:tcW w:w="1384" w:type="dxa"/>
            <w:vAlign w:val="center"/>
          </w:tcPr>
          <w:p>
            <w:pPr>
              <w:spacing w:before="0" w:after="0" w:line="240" w:lineRule="auto"/>
              <w:ind w:firstLine="0"/>
              <w:jc w:val="center"/>
            </w:pPr>
            <w:r>
              <w:rPr>
                <w:rFonts w:ascii="宋体" w:hAnsi="宋体" w:eastAsia="宋体"/>
                <w:b w:val="0"/>
                <w:sz w:val="21"/>
              </w:rPr>
              <w:t>62.5%</w:t>
            </w:r>
          </w:p>
        </w:tc>
        <w:tc>
          <w:tcPr>
            <w:tcW w:w="1384" w:type="dxa"/>
            <w:vAlign w:val="center"/>
          </w:tcPr>
          <w:p>
            <w:pPr>
              <w:spacing w:before="0" w:after="0" w:line="240" w:lineRule="auto"/>
              <w:ind w:firstLine="0"/>
              <w:jc w:val="center"/>
            </w:pPr>
            <w:r>
              <w:rPr>
                <w:rFonts w:ascii="宋体" w:hAnsi="宋体" w:eastAsia="宋体"/>
                <w:b w:val="0"/>
                <w:sz w:val="21"/>
              </w:rPr>
              <w:t>Z=-0.95</w:t>
            </w:r>
          </w:p>
        </w:tc>
        <w:tc>
          <w:tcPr>
            <w:tcW w:w="1384" w:type="dxa"/>
            <w:vAlign w:val="center"/>
          </w:tcPr>
          <w:p>
            <w:pPr>
              <w:spacing w:before="0" w:after="0" w:line="240" w:lineRule="auto"/>
              <w:ind w:firstLine="0"/>
              <w:jc w:val="center"/>
            </w:pPr>
            <w:r>
              <w:rPr>
                <w:rFonts w:ascii="宋体" w:hAnsi="宋体" w:eastAsia="宋体"/>
                <w:b w:val="0"/>
                <w:sz w:val="21"/>
              </w:rPr>
              <w:t>Z=1.27</w:t>
            </w:r>
          </w:p>
        </w:tc>
        <w:tc>
          <w:tcPr>
            <w:tcW w:w="2835" w:type="dxa"/>
            <w:vAlign w:val="center"/>
          </w:tcPr>
          <w:p>
            <w:pPr>
              <w:spacing w:before="0" w:after="0" w:line="240" w:lineRule="auto"/>
              <w:ind w:firstLine="0"/>
              <w:jc w:val="center"/>
            </w:pPr>
            <w:r>
              <w:rPr>
                <w:rFonts w:ascii="宋体" w:hAnsi="宋体" w:eastAsia="宋体"/>
                <w:b w:val="0"/>
                <w:sz w:val="21"/>
              </w:rPr>
              <w:t>象限II：机会区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现场气氛</w:t>
            </w:r>
          </w:p>
        </w:tc>
        <w:tc>
          <w:tcPr>
            <w:tcW w:w="1384" w:type="dxa"/>
            <w:vAlign w:val="center"/>
          </w:tcPr>
          <w:p>
            <w:pPr>
              <w:spacing w:before="0" w:after="0" w:line="240" w:lineRule="auto"/>
              <w:ind w:firstLine="0"/>
              <w:jc w:val="center"/>
            </w:pPr>
            <w:r>
              <w:rPr>
                <w:rFonts w:ascii="宋体" w:hAnsi="宋体" w:eastAsia="宋体"/>
                <w:b w:val="0"/>
                <w:sz w:val="21"/>
              </w:rPr>
              <w:t>14.9%</w:t>
            </w:r>
          </w:p>
        </w:tc>
        <w:tc>
          <w:tcPr>
            <w:tcW w:w="1384" w:type="dxa"/>
            <w:vAlign w:val="center"/>
          </w:tcPr>
          <w:p>
            <w:pPr>
              <w:spacing w:before="0" w:after="0" w:line="240" w:lineRule="auto"/>
              <w:ind w:firstLine="0"/>
              <w:jc w:val="center"/>
            </w:pPr>
            <w:r>
              <w:rPr>
                <w:rFonts w:ascii="宋体" w:hAnsi="宋体" w:eastAsia="宋体"/>
                <w:b w:val="0"/>
                <w:sz w:val="21"/>
              </w:rPr>
              <w:t>50.0%</w:t>
            </w:r>
          </w:p>
        </w:tc>
        <w:tc>
          <w:tcPr>
            <w:tcW w:w="1384" w:type="dxa"/>
            <w:vAlign w:val="center"/>
          </w:tcPr>
          <w:p>
            <w:pPr>
              <w:spacing w:before="0" w:after="0" w:line="240" w:lineRule="auto"/>
              <w:ind w:firstLine="0"/>
              <w:jc w:val="center"/>
            </w:pPr>
            <w:r>
              <w:rPr>
                <w:rFonts w:ascii="宋体" w:hAnsi="宋体" w:eastAsia="宋体"/>
                <w:b w:val="0"/>
                <w:sz w:val="21"/>
              </w:rPr>
              <w:t>Z=-0.14</w:t>
            </w:r>
          </w:p>
        </w:tc>
        <w:tc>
          <w:tcPr>
            <w:tcW w:w="1384" w:type="dxa"/>
            <w:vAlign w:val="center"/>
          </w:tcPr>
          <w:p>
            <w:pPr>
              <w:spacing w:before="0" w:after="0" w:line="240" w:lineRule="auto"/>
              <w:ind w:firstLine="0"/>
              <w:jc w:val="center"/>
            </w:pPr>
            <w:r>
              <w:rPr>
                <w:rFonts w:ascii="宋体" w:hAnsi="宋体" w:eastAsia="宋体"/>
                <w:b w:val="0"/>
                <w:sz w:val="21"/>
              </w:rPr>
              <w:t>Z=0.59</w:t>
            </w:r>
          </w:p>
        </w:tc>
        <w:tc>
          <w:tcPr>
            <w:tcW w:w="2835" w:type="dxa"/>
            <w:vAlign w:val="center"/>
          </w:tcPr>
          <w:p>
            <w:pPr>
              <w:spacing w:before="0" w:after="0" w:line="240" w:lineRule="auto"/>
              <w:ind w:firstLine="0"/>
              <w:jc w:val="center"/>
            </w:pPr>
            <w:r>
              <w:rPr>
                <w:rFonts w:ascii="宋体" w:hAnsi="宋体" w:eastAsia="宋体"/>
                <w:b w:val="0"/>
                <w:sz w:val="21"/>
              </w:rPr>
              <w:t>象限II：机会区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人文故事</w:t>
            </w:r>
          </w:p>
        </w:tc>
        <w:tc>
          <w:tcPr>
            <w:tcW w:w="1384" w:type="dxa"/>
            <w:vAlign w:val="center"/>
          </w:tcPr>
          <w:p>
            <w:pPr>
              <w:spacing w:before="0" w:after="0" w:line="240" w:lineRule="auto"/>
              <w:ind w:firstLine="0"/>
              <w:jc w:val="center"/>
            </w:pPr>
            <w:r>
              <w:rPr>
                <w:rFonts w:ascii="宋体" w:hAnsi="宋体" w:eastAsia="宋体"/>
                <w:b w:val="0"/>
                <w:sz w:val="21"/>
              </w:rPr>
              <w:t>3.5%</w:t>
            </w:r>
          </w:p>
        </w:tc>
        <w:tc>
          <w:tcPr>
            <w:tcW w:w="1384" w:type="dxa"/>
            <w:vAlign w:val="center"/>
          </w:tcPr>
          <w:p>
            <w:pPr>
              <w:spacing w:before="0" w:after="0" w:line="240" w:lineRule="auto"/>
              <w:ind w:firstLine="0"/>
              <w:jc w:val="center"/>
            </w:pPr>
            <w:r>
              <w:rPr>
                <w:rFonts w:ascii="宋体" w:hAnsi="宋体" w:eastAsia="宋体"/>
                <w:b w:val="0"/>
                <w:sz w:val="21"/>
              </w:rPr>
              <w:t>12.5%</w:t>
            </w:r>
          </w:p>
        </w:tc>
        <w:tc>
          <w:tcPr>
            <w:tcW w:w="1384" w:type="dxa"/>
            <w:vAlign w:val="center"/>
          </w:tcPr>
          <w:p>
            <w:pPr>
              <w:spacing w:before="0" w:after="0" w:line="240" w:lineRule="auto"/>
              <w:ind w:firstLine="0"/>
              <w:jc w:val="center"/>
            </w:pPr>
            <w:r>
              <w:rPr>
                <w:rFonts w:ascii="宋体" w:hAnsi="宋体" w:eastAsia="宋体"/>
                <w:b w:val="0"/>
                <w:sz w:val="21"/>
              </w:rPr>
              <w:t>Z=-0.89</w:t>
            </w:r>
          </w:p>
        </w:tc>
        <w:tc>
          <w:tcPr>
            <w:tcW w:w="1384" w:type="dxa"/>
            <w:vAlign w:val="center"/>
          </w:tcPr>
          <w:p>
            <w:pPr>
              <w:spacing w:before="0" w:after="0" w:line="240" w:lineRule="auto"/>
              <w:ind w:firstLine="0"/>
              <w:jc w:val="center"/>
            </w:pPr>
            <w:r>
              <w:rPr>
                <w:rFonts w:ascii="宋体" w:hAnsi="宋体" w:eastAsia="宋体"/>
                <w:b w:val="0"/>
                <w:sz w:val="21"/>
              </w:rPr>
              <w:t>Z=-1.47</w:t>
            </w:r>
          </w:p>
        </w:tc>
        <w:tc>
          <w:tcPr>
            <w:tcW w:w="2835" w:type="dxa"/>
            <w:vAlign w:val="center"/>
          </w:tcPr>
          <w:p>
            <w:pPr>
              <w:spacing w:before="0" w:after="0" w:line="240" w:lineRule="auto"/>
              <w:ind w:firstLine="0"/>
              <w:jc w:val="center"/>
            </w:pPr>
            <w:r>
              <w:rPr>
                <w:rFonts w:ascii="宋体" w:hAnsi="宋体" w:eastAsia="宋体"/>
                <w:b w:val="0"/>
                <w:sz w:val="21"/>
              </w:rPr>
              <w:t>象限III：暂缓区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乡村振兴/经济增收</w:t>
            </w:r>
          </w:p>
        </w:tc>
        <w:tc>
          <w:tcPr>
            <w:tcW w:w="1384" w:type="dxa"/>
            <w:vAlign w:val="center"/>
          </w:tcPr>
          <w:p>
            <w:pPr>
              <w:spacing w:before="0" w:after="0" w:line="240" w:lineRule="auto"/>
              <w:ind w:firstLine="0"/>
              <w:jc w:val="center"/>
            </w:pPr>
            <w:r>
              <w:rPr>
                <w:rFonts w:ascii="宋体" w:hAnsi="宋体" w:eastAsia="宋体"/>
                <w:b w:val="0"/>
                <w:sz w:val="21"/>
              </w:rPr>
              <w:t>4.5%</w:t>
            </w:r>
          </w:p>
        </w:tc>
        <w:tc>
          <w:tcPr>
            <w:tcW w:w="1384" w:type="dxa"/>
            <w:vAlign w:val="center"/>
          </w:tcPr>
          <w:p>
            <w:pPr>
              <w:spacing w:before="0" w:after="0" w:line="240" w:lineRule="auto"/>
              <w:ind w:firstLine="0"/>
              <w:jc w:val="center"/>
            </w:pPr>
            <w:r>
              <w:rPr>
                <w:rFonts w:ascii="宋体" w:hAnsi="宋体" w:eastAsia="宋体"/>
                <w:b w:val="0"/>
                <w:sz w:val="21"/>
              </w:rPr>
              <w:t>25.0%</w:t>
            </w:r>
          </w:p>
        </w:tc>
        <w:tc>
          <w:tcPr>
            <w:tcW w:w="1384" w:type="dxa"/>
            <w:vAlign w:val="center"/>
          </w:tcPr>
          <w:p>
            <w:pPr>
              <w:spacing w:before="0" w:after="0" w:line="240" w:lineRule="auto"/>
              <w:ind w:firstLine="0"/>
              <w:jc w:val="center"/>
            </w:pPr>
            <w:r>
              <w:rPr>
                <w:rFonts w:ascii="宋体" w:hAnsi="宋体" w:eastAsia="宋体"/>
                <w:b w:val="0"/>
                <w:sz w:val="21"/>
              </w:rPr>
              <w:t>Z=-0.82</w:t>
            </w:r>
          </w:p>
        </w:tc>
        <w:tc>
          <w:tcPr>
            <w:tcW w:w="1384" w:type="dxa"/>
            <w:vAlign w:val="center"/>
          </w:tcPr>
          <w:p>
            <w:pPr>
              <w:spacing w:before="0" w:after="0" w:line="240" w:lineRule="auto"/>
              <w:ind w:firstLine="0"/>
              <w:jc w:val="center"/>
            </w:pPr>
            <w:r>
              <w:rPr>
                <w:rFonts w:ascii="宋体" w:hAnsi="宋体" w:eastAsia="宋体"/>
                <w:b w:val="0"/>
                <w:sz w:val="21"/>
              </w:rPr>
              <w:t>Z=-0.78</w:t>
            </w:r>
          </w:p>
        </w:tc>
        <w:tc>
          <w:tcPr>
            <w:tcW w:w="2835" w:type="dxa"/>
            <w:vAlign w:val="center"/>
          </w:tcPr>
          <w:p>
            <w:pPr>
              <w:spacing w:before="0" w:after="0" w:line="240" w:lineRule="auto"/>
              <w:ind w:firstLine="0"/>
              <w:jc w:val="center"/>
            </w:pPr>
            <w:r>
              <w:rPr>
                <w:rFonts w:ascii="宋体" w:hAnsi="宋体" w:eastAsia="宋体"/>
                <w:b w:val="0"/>
                <w:sz w:val="21"/>
              </w:rPr>
              <w:t>象限III：暂缓区</w:t>
            </w:r>
          </w:p>
        </w:tc>
      </w:tr>
    </w:tbl>
    <w:p>
      <w:pPr>
        <w:spacing w:before="120"/>
        <w:ind w:firstLine="0"/>
        <w:jc w:val="center"/>
      </w:pPr>
      <w:r>
        <w:drawing>
          <wp:inline distT="0" distB="0" distL="114300" distR="114300">
            <wp:extent cx="5029200" cy="4074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029200" cy="4074228"/>
                    </a:xfrm>
                    <a:prstGeom prst="rect">
                      <a:avLst/>
                    </a:prstGeom>
                  </pic:spPr>
                </pic:pic>
              </a:graphicData>
            </a:graphic>
          </wp:inline>
        </w:drawing>
      </w:r>
    </w:p>
    <w:p>
      <w:pPr>
        <w:spacing w:before="60" w:after="120" w:line="360" w:lineRule="auto"/>
        <w:ind w:firstLine="0"/>
        <w:jc w:val="center"/>
      </w:pPr>
      <w:r>
        <w:rPr>
          <w:rFonts w:ascii="宋体" w:hAnsi="宋体" w:eastAsia="宋体"/>
          <w:b/>
          <w:sz w:val="21"/>
        </w:rPr>
        <w:t>图1 贵州村超七主题“供给—需求”IPA分析矩阵</w:t>
      </w:r>
    </w:p>
    <w:p>
      <w:pPr>
        <w:pStyle w:val="5"/>
        <w:ind w:firstLine="482" w:firstLineChars="200"/>
      </w:pPr>
      <w:bookmarkStart w:id="24" w:name="_Toc26964"/>
      <w:r>
        <w:rPr>
          <w:rFonts w:hint="eastAsia" w:ascii="宋体" w:hAnsi="宋体" w:eastAsia="宋体"/>
          <w:b/>
          <w:color w:val="000000"/>
          <w:lang w:val="en-US" w:eastAsia="zh-CN"/>
        </w:rPr>
        <w:t>2</w:t>
      </w:r>
      <w:r>
        <w:rPr>
          <w:rFonts w:ascii="宋体" w:hAnsi="宋体" w:eastAsia="宋体"/>
          <w:b/>
          <w:color w:val="000000"/>
        </w:rPr>
        <w:t>、四象限解读</w:t>
      </w:r>
      <w:bookmarkEnd w:id="24"/>
    </w:p>
    <w:p>
      <w:r>
        <w:rPr>
          <w:rFonts w:ascii="宋体" w:hAnsi="宋体" w:eastAsia="宋体"/>
          <w:b w:val="0"/>
          <w:sz w:val="24"/>
        </w:rPr>
        <w:t>象限I（优势区——供给高于均值，需求高于均值）：供需双高，是内容生态的稳健基本盘。该象限仅有“本地民俗文化展示”。但需特别关注：足球赛事集锦的需求Z值已接近均值线（Z=0.79仅比均值高0.79个标准差），而供给Z值高达1.63（远超均值），存在从优势区向低回报区滑落的结构性风险。这一信号表明，即使当前仍在优势区，赛事集锦类内容的创作投入也需要从“扩大数量”转向“提升质量”。</w:t>
      </w:r>
    </w:p>
    <w:p>
      <w:r>
        <w:rPr>
          <w:rFonts w:ascii="宋体" w:hAnsi="宋体" w:eastAsia="宋体"/>
          <w:b w:val="0"/>
          <w:sz w:val="24"/>
        </w:rPr>
        <w:t>象限II（机会区——供给低于均值，需求高于均值）：供不应求，是AI推荐算法最应优先加权的核心机会领域。该象限包括美食特产/文创产品、现场气氛。这三个主题覆盖了“文化—美食—氛围”三大文旅核心体验维度，与贵州村超作为文旅IP的核心竞争力高度吻合。其中“美食特产/文创产品”的需求Z值最高（+1.74），是机会区中最具增长潜力的方向。</w:t>
      </w:r>
    </w:p>
    <w:p>
      <w:r>
        <w:rPr>
          <w:rFonts w:ascii="宋体" w:hAnsi="宋体" w:eastAsia="宋体"/>
          <w:b w:val="0"/>
          <w:sz w:val="24"/>
        </w:rPr>
        <w:t>象限III（暂缓区——供给低于均值，需求低于均值）：供需双低，当前阶段不宜作为主力创作方向，但不可完全放弃。该象限包括人文故事、乡村振兴/经济增收。“人文故事”虽然需求Z值最低（Z=-1.63），但因其具有“低关注、高爆发”的特殊属性（95岁侗家奶奶单条5亿+播放），建议以精品策略进行战略储备，等待节点性引爆。</w:t>
      </w:r>
    </w:p>
    <w:p>
      <w:r>
        <w:rPr>
          <w:rFonts w:ascii="宋体" w:hAnsi="宋体" w:eastAsia="宋体"/>
          <w:b w:val="0"/>
          <w:sz w:val="24"/>
        </w:rPr>
        <w:t>象限IV（低回报区——供给高于均值，需求低于均值）：供给相对充足但受众主动关注意愿不强，投入产出比较低。该象限仅有“足球赛事集锦/精彩进球、贵州村超联动”。建议在重大联动节点（如国青赛、球星友谊赛）期间集中发力，而非日常高频推送。</w:t>
      </w:r>
    </w:p>
    <w:p>
      <w:pPr>
        <w:pStyle w:val="4"/>
      </w:pPr>
      <w:bookmarkStart w:id="25" w:name="_Toc15018"/>
      <w:bookmarkStart w:id="26" w:name="_Toc2190"/>
      <w:r>
        <w:rPr>
          <w:rFonts w:ascii="宋体" w:hAnsi="宋体" w:eastAsia="宋体"/>
          <w:b/>
          <w:color w:val="000000"/>
        </w:rPr>
        <w:t>（</w:t>
      </w:r>
      <w:r>
        <w:rPr>
          <w:rFonts w:hint="eastAsia" w:ascii="宋体" w:hAnsi="宋体" w:eastAsia="宋体"/>
          <w:b/>
          <w:color w:val="000000"/>
          <w:lang w:val="en-US" w:eastAsia="zh-CN"/>
        </w:rPr>
        <w:t>三</w:t>
      </w:r>
      <w:r>
        <w:rPr>
          <w:rFonts w:ascii="宋体" w:hAnsi="宋体" w:eastAsia="宋体"/>
          <w:b/>
          <w:color w:val="000000"/>
        </w:rPr>
        <w:t>）平台流量与受众需求供需差值</w:t>
      </w:r>
      <w:bookmarkEnd w:id="25"/>
    </w:p>
    <w:p>
      <w:r>
        <w:rPr>
          <w:rFonts w:ascii="宋体" w:hAnsi="宋体" w:eastAsia="宋体"/>
          <w:b w:val="0"/>
          <w:sz w:val="24"/>
        </w:rPr>
        <w:t>为量化供需错位程度，以受众需求占比减去平台流量占比（即“需求-流量”差值），得到各主题的供需差值。正值表示供不应求（受众需求高于平台流量供给），负值表示供过于求（平台流量供给高于受众需求）。同时附上“需求-供给”差值作为辅助参考。</w:t>
      </w:r>
    </w:p>
    <w:p>
      <w:pPr>
        <w:spacing w:before="120" w:after="60" w:line="360" w:lineRule="auto"/>
        <w:ind w:firstLine="0"/>
        <w:jc w:val="center"/>
      </w:pPr>
      <w:r>
        <w:rPr>
          <w:rFonts w:ascii="宋体" w:hAnsi="宋体" w:eastAsia="宋体"/>
          <w:b/>
          <w:sz w:val="21"/>
        </w:rPr>
        <w:t>表5 贵州村超七主题 —— 平台流量与受众需求供需差值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1243"/>
        <w:gridCol w:w="1243"/>
        <w:gridCol w:w="1266"/>
        <w:gridCol w:w="1266"/>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AE3F3"/>
            <w:vAlign w:val="center"/>
          </w:tcPr>
          <w:p>
            <w:pPr>
              <w:spacing w:before="0" w:after="0" w:line="240" w:lineRule="auto"/>
              <w:ind w:firstLine="0"/>
              <w:jc w:val="center"/>
            </w:pPr>
            <w:r>
              <w:rPr>
                <w:rFonts w:ascii="宋体" w:hAnsi="宋体" w:eastAsia="宋体"/>
                <w:b/>
                <w:sz w:val="21"/>
              </w:rPr>
              <w:t>内容主题</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平台流量占比</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受众需求占比</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供需差值</w:t>
            </w:r>
            <w:r>
              <w:rPr>
                <w:rFonts w:ascii="宋体" w:hAnsi="宋体" w:eastAsia="宋体"/>
                <w:b/>
                <w:sz w:val="21"/>
              </w:rPr>
              <w:br w:type="textWrapping"/>
            </w:r>
            <w:r>
              <w:rPr>
                <w:rFonts w:ascii="宋体" w:hAnsi="宋体" w:eastAsia="宋体"/>
                <w:b/>
                <w:sz w:val="21"/>
              </w:rPr>
              <w:t>(需求-流量)</w:t>
            </w:r>
          </w:p>
        </w:tc>
        <w:tc>
          <w:tcPr>
            <w:tcW w:w="1384" w:type="dxa"/>
            <w:shd w:val="clear" w:color="auto" w:fill="DAE3F3"/>
            <w:vAlign w:val="center"/>
          </w:tcPr>
          <w:p>
            <w:pPr>
              <w:spacing w:before="0" w:after="0" w:line="240" w:lineRule="auto"/>
              <w:ind w:firstLine="0"/>
              <w:jc w:val="center"/>
            </w:pPr>
            <w:r>
              <w:rPr>
                <w:rFonts w:ascii="宋体" w:hAnsi="宋体" w:eastAsia="宋体"/>
                <w:b/>
                <w:sz w:val="21"/>
              </w:rPr>
              <w:t>供需差值</w:t>
            </w:r>
            <w:r>
              <w:rPr>
                <w:rFonts w:ascii="宋体" w:hAnsi="宋体" w:eastAsia="宋体"/>
                <w:b/>
                <w:sz w:val="21"/>
              </w:rPr>
              <w:br w:type="textWrapping"/>
            </w:r>
            <w:r>
              <w:rPr>
                <w:rFonts w:ascii="宋体" w:hAnsi="宋体" w:eastAsia="宋体"/>
                <w:b/>
                <w:sz w:val="21"/>
              </w:rPr>
              <w:t>(需求-供给)</w:t>
            </w:r>
          </w:p>
        </w:tc>
        <w:tc>
          <w:tcPr>
            <w:tcW w:w="1701" w:type="dxa"/>
            <w:shd w:val="clear" w:color="auto" w:fill="DAE3F3"/>
            <w:vAlign w:val="center"/>
          </w:tcPr>
          <w:p>
            <w:pPr>
              <w:spacing w:before="0" w:after="0" w:line="240" w:lineRule="auto"/>
              <w:ind w:firstLine="0"/>
              <w:jc w:val="center"/>
            </w:pPr>
            <w:r>
              <w:rPr>
                <w:rFonts w:ascii="宋体" w:hAnsi="宋体" w:eastAsia="宋体"/>
                <w:b/>
                <w:sz w:val="21"/>
              </w:rPr>
              <w:t>供需状态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本地民俗文化展示</w:t>
            </w:r>
          </w:p>
        </w:tc>
        <w:tc>
          <w:tcPr>
            <w:tcW w:w="1384" w:type="dxa"/>
            <w:vAlign w:val="center"/>
          </w:tcPr>
          <w:p>
            <w:pPr>
              <w:spacing w:before="0" w:after="0" w:line="240" w:lineRule="auto"/>
              <w:ind w:firstLine="0"/>
              <w:jc w:val="center"/>
            </w:pPr>
            <w:r>
              <w:rPr>
                <w:rFonts w:ascii="宋体" w:hAnsi="宋体" w:eastAsia="宋体"/>
                <w:b w:val="0"/>
                <w:sz w:val="21"/>
              </w:rPr>
              <w:t>25.7%</w:t>
            </w:r>
          </w:p>
        </w:tc>
        <w:tc>
          <w:tcPr>
            <w:tcW w:w="1384" w:type="dxa"/>
            <w:vAlign w:val="center"/>
          </w:tcPr>
          <w:p>
            <w:pPr>
              <w:spacing w:before="0" w:after="0" w:line="240" w:lineRule="auto"/>
              <w:ind w:firstLine="0"/>
              <w:jc w:val="center"/>
            </w:pPr>
            <w:r>
              <w:rPr>
                <w:rFonts w:ascii="宋体" w:hAnsi="宋体" w:eastAsia="宋体"/>
                <w:b w:val="0"/>
                <w:sz w:val="21"/>
              </w:rPr>
              <w:t>62.5%</w:t>
            </w:r>
          </w:p>
        </w:tc>
        <w:tc>
          <w:tcPr>
            <w:tcW w:w="1384" w:type="dxa"/>
            <w:vAlign w:val="center"/>
          </w:tcPr>
          <w:p>
            <w:pPr>
              <w:spacing w:before="0" w:after="0" w:line="240" w:lineRule="auto"/>
              <w:ind w:firstLine="0"/>
              <w:jc w:val="center"/>
            </w:pPr>
            <w:r>
              <w:rPr>
                <w:rFonts w:ascii="宋体" w:hAnsi="宋体" w:eastAsia="宋体"/>
                <w:b w:val="0"/>
                <w:sz w:val="21"/>
              </w:rPr>
              <w:t>+36.8%</w:t>
            </w:r>
          </w:p>
        </w:tc>
        <w:tc>
          <w:tcPr>
            <w:tcW w:w="1384" w:type="dxa"/>
            <w:vAlign w:val="center"/>
          </w:tcPr>
          <w:p>
            <w:pPr>
              <w:spacing w:before="0" w:after="0" w:line="240" w:lineRule="auto"/>
              <w:ind w:firstLine="0"/>
              <w:jc w:val="center"/>
            </w:pPr>
            <w:r>
              <w:rPr>
                <w:rFonts w:ascii="宋体" w:hAnsi="宋体" w:eastAsia="宋体"/>
                <w:b w:val="0"/>
                <w:sz w:val="21"/>
              </w:rPr>
              <w:t>+44.5%</w:t>
            </w:r>
          </w:p>
        </w:tc>
        <w:tc>
          <w:tcPr>
            <w:tcW w:w="1701" w:type="dxa"/>
            <w:vAlign w:val="center"/>
          </w:tcPr>
          <w:p>
            <w:pPr>
              <w:spacing w:before="0" w:after="0" w:line="240" w:lineRule="auto"/>
              <w:ind w:firstLine="0"/>
              <w:jc w:val="center"/>
            </w:pPr>
            <w:r>
              <w:rPr>
                <w:rFonts w:ascii="宋体" w:hAnsi="宋体" w:eastAsia="宋体"/>
                <w:b w:val="0"/>
                <w:sz w:val="21"/>
              </w:rPr>
              <w:t>严重供不应求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美食特产/文创产品</w:t>
            </w:r>
          </w:p>
        </w:tc>
        <w:tc>
          <w:tcPr>
            <w:tcW w:w="1384" w:type="dxa"/>
            <w:vAlign w:val="center"/>
          </w:tcPr>
          <w:p>
            <w:pPr>
              <w:spacing w:before="0" w:after="0" w:line="240" w:lineRule="auto"/>
              <w:ind w:firstLine="0"/>
              <w:jc w:val="center"/>
            </w:pPr>
            <w:r>
              <w:rPr>
                <w:rFonts w:ascii="宋体" w:hAnsi="宋体" w:eastAsia="宋体"/>
                <w:b w:val="0"/>
                <w:sz w:val="21"/>
              </w:rPr>
              <w:t>2.5%</w:t>
            </w:r>
          </w:p>
        </w:tc>
        <w:tc>
          <w:tcPr>
            <w:tcW w:w="1384" w:type="dxa"/>
            <w:vAlign w:val="center"/>
          </w:tcPr>
          <w:p>
            <w:pPr>
              <w:spacing w:before="0" w:after="0" w:line="240" w:lineRule="auto"/>
              <w:ind w:firstLine="0"/>
              <w:jc w:val="center"/>
            </w:pPr>
            <w:r>
              <w:rPr>
                <w:rFonts w:ascii="宋体" w:hAnsi="宋体" w:eastAsia="宋体"/>
                <w:b w:val="0"/>
                <w:sz w:val="21"/>
              </w:rPr>
              <w:t>62.5%</w:t>
            </w:r>
          </w:p>
        </w:tc>
        <w:tc>
          <w:tcPr>
            <w:tcW w:w="1384" w:type="dxa"/>
            <w:vAlign w:val="center"/>
          </w:tcPr>
          <w:p>
            <w:pPr>
              <w:spacing w:before="0" w:after="0" w:line="240" w:lineRule="auto"/>
              <w:ind w:firstLine="0"/>
              <w:jc w:val="center"/>
            </w:pPr>
            <w:r>
              <w:rPr>
                <w:rFonts w:ascii="宋体" w:hAnsi="宋体" w:eastAsia="宋体"/>
                <w:b w:val="0"/>
                <w:sz w:val="21"/>
              </w:rPr>
              <w:t>+60.0%</w:t>
            </w:r>
          </w:p>
        </w:tc>
        <w:tc>
          <w:tcPr>
            <w:tcW w:w="1384" w:type="dxa"/>
            <w:vAlign w:val="center"/>
          </w:tcPr>
          <w:p>
            <w:pPr>
              <w:spacing w:before="0" w:after="0" w:line="240" w:lineRule="auto"/>
              <w:ind w:firstLine="0"/>
              <w:jc w:val="center"/>
            </w:pPr>
            <w:r>
              <w:rPr>
                <w:rFonts w:ascii="宋体" w:hAnsi="宋体" w:eastAsia="宋体"/>
                <w:b w:val="0"/>
                <w:sz w:val="21"/>
              </w:rPr>
              <w:t>+48.5%</w:t>
            </w:r>
          </w:p>
        </w:tc>
        <w:tc>
          <w:tcPr>
            <w:tcW w:w="1701" w:type="dxa"/>
            <w:vAlign w:val="center"/>
          </w:tcPr>
          <w:p>
            <w:pPr>
              <w:spacing w:before="0" w:after="0" w:line="240" w:lineRule="auto"/>
              <w:ind w:firstLine="0"/>
              <w:jc w:val="center"/>
            </w:pPr>
            <w:r>
              <w:rPr>
                <w:rFonts w:ascii="宋体" w:hAnsi="宋体" w:eastAsia="宋体"/>
                <w:b w:val="0"/>
                <w:sz w:val="21"/>
              </w:rPr>
              <w:t>严重供不应求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现场气氛</w:t>
            </w:r>
          </w:p>
        </w:tc>
        <w:tc>
          <w:tcPr>
            <w:tcW w:w="1384" w:type="dxa"/>
            <w:vAlign w:val="center"/>
          </w:tcPr>
          <w:p>
            <w:pPr>
              <w:spacing w:before="0" w:after="0" w:line="240" w:lineRule="auto"/>
              <w:ind w:firstLine="0"/>
              <w:jc w:val="center"/>
            </w:pPr>
            <w:r>
              <w:rPr>
                <w:rFonts w:ascii="宋体" w:hAnsi="宋体" w:eastAsia="宋体"/>
                <w:b w:val="0"/>
                <w:sz w:val="21"/>
              </w:rPr>
              <w:t>14.9%</w:t>
            </w:r>
          </w:p>
        </w:tc>
        <w:tc>
          <w:tcPr>
            <w:tcW w:w="1384" w:type="dxa"/>
            <w:vAlign w:val="center"/>
          </w:tcPr>
          <w:p>
            <w:pPr>
              <w:spacing w:before="0" w:after="0" w:line="240" w:lineRule="auto"/>
              <w:ind w:firstLine="0"/>
              <w:jc w:val="center"/>
            </w:pPr>
            <w:r>
              <w:rPr>
                <w:rFonts w:ascii="宋体" w:hAnsi="宋体" w:eastAsia="宋体"/>
                <w:b w:val="0"/>
                <w:sz w:val="21"/>
              </w:rPr>
              <w:t>50.0%</w:t>
            </w:r>
          </w:p>
        </w:tc>
        <w:tc>
          <w:tcPr>
            <w:tcW w:w="1384" w:type="dxa"/>
            <w:vAlign w:val="center"/>
          </w:tcPr>
          <w:p>
            <w:pPr>
              <w:spacing w:before="0" w:after="0" w:line="240" w:lineRule="auto"/>
              <w:ind w:firstLine="0"/>
              <w:jc w:val="center"/>
            </w:pPr>
            <w:r>
              <w:rPr>
                <w:rFonts w:ascii="宋体" w:hAnsi="宋体" w:eastAsia="宋体"/>
                <w:b w:val="0"/>
                <w:sz w:val="21"/>
              </w:rPr>
              <w:t>+35.1%</w:t>
            </w:r>
          </w:p>
        </w:tc>
        <w:tc>
          <w:tcPr>
            <w:tcW w:w="1384" w:type="dxa"/>
            <w:vAlign w:val="center"/>
          </w:tcPr>
          <w:p>
            <w:pPr>
              <w:spacing w:before="0" w:after="0" w:line="240" w:lineRule="auto"/>
              <w:ind w:firstLine="0"/>
              <w:jc w:val="center"/>
            </w:pPr>
            <w:r>
              <w:rPr>
                <w:rFonts w:ascii="宋体" w:hAnsi="宋体" w:eastAsia="宋体"/>
                <w:b w:val="0"/>
                <w:sz w:val="21"/>
              </w:rPr>
              <w:t>+32.0%</w:t>
            </w:r>
          </w:p>
        </w:tc>
        <w:tc>
          <w:tcPr>
            <w:tcW w:w="1701" w:type="dxa"/>
            <w:vAlign w:val="center"/>
          </w:tcPr>
          <w:p>
            <w:pPr>
              <w:spacing w:before="0" w:after="0" w:line="240" w:lineRule="auto"/>
              <w:ind w:firstLine="0"/>
              <w:jc w:val="center"/>
            </w:pPr>
            <w:r>
              <w:rPr>
                <w:rFonts w:ascii="宋体" w:hAnsi="宋体" w:eastAsia="宋体"/>
                <w:b w:val="0"/>
                <w:sz w:val="21"/>
              </w:rPr>
              <w:t>严重供不应求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足球赛事集锦/精彩进球</w:t>
            </w:r>
          </w:p>
        </w:tc>
        <w:tc>
          <w:tcPr>
            <w:tcW w:w="1384" w:type="dxa"/>
            <w:vAlign w:val="center"/>
          </w:tcPr>
          <w:p>
            <w:pPr>
              <w:spacing w:before="0" w:after="0" w:line="240" w:lineRule="auto"/>
              <w:ind w:firstLine="0"/>
              <w:jc w:val="center"/>
            </w:pPr>
            <w:r>
              <w:rPr>
                <w:rFonts w:ascii="宋体" w:hAnsi="宋体" w:eastAsia="宋体"/>
                <w:b w:val="0"/>
                <w:sz w:val="21"/>
              </w:rPr>
              <w:t>48.5%</w:t>
            </w:r>
          </w:p>
        </w:tc>
        <w:tc>
          <w:tcPr>
            <w:tcW w:w="1384" w:type="dxa"/>
            <w:vAlign w:val="center"/>
          </w:tcPr>
          <w:p>
            <w:pPr>
              <w:spacing w:before="0" w:after="0" w:line="240" w:lineRule="auto"/>
              <w:ind w:firstLine="0"/>
              <w:jc w:val="center"/>
            </w:pPr>
            <w:r>
              <w:rPr>
                <w:rFonts w:ascii="宋体" w:hAnsi="宋体" w:eastAsia="宋体"/>
                <w:b w:val="0"/>
                <w:sz w:val="21"/>
              </w:rPr>
              <w:t>37.5%</w:t>
            </w:r>
          </w:p>
        </w:tc>
        <w:tc>
          <w:tcPr>
            <w:tcW w:w="1384" w:type="dxa"/>
            <w:vAlign w:val="center"/>
          </w:tcPr>
          <w:p>
            <w:pPr>
              <w:spacing w:before="0" w:after="0" w:line="240" w:lineRule="auto"/>
              <w:ind w:firstLine="0"/>
              <w:jc w:val="center"/>
            </w:pPr>
            <w:r>
              <w:rPr>
                <w:rFonts w:ascii="宋体" w:hAnsi="宋体" w:eastAsia="宋体"/>
                <w:b w:val="0"/>
                <w:sz w:val="21"/>
              </w:rPr>
              <w:t>-11.0%</w:t>
            </w:r>
          </w:p>
        </w:tc>
        <w:tc>
          <w:tcPr>
            <w:tcW w:w="1384" w:type="dxa"/>
            <w:vAlign w:val="center"/>
          </w:tcPr>
          <w:p>
            <w:pPr>
              <w:spacing w:before="0" w:after="0" w:line="240" w:lineRule="auto"/>
              <w:ind w:firstLine="0"/>
              <w:jc w:val="center"/>
            </w:pPr>
            <w:r>
              <w:rPr>
                <w:rFonts w:ascii="宋体" w:hAnsi="宋体" w:eastAsia="宋体"/>
                <w:b w:val="0"/>
                <w:sz w:val="21"/>
              </w:rPr>
              <w:t>+5.5%</w:t>
            </w:r>
          </w:p>
        </w:tc>
        <w:tc>
          <w:tcPr>
            <w:tcW w:w="1701" w:type="dxa"/>
            <w:vAlign w:val="center"/>
          </w:tcPr>
          <w:p>
            <w:pPr>
              <w:spacing w:before="0" w:after="0" w:line="240" w:lineRule="auto"/>
              <w:ind w:firstLine="0"/>
              <w:jc w:val="center"/>
            </w:pPr>
            <w:r>
              <w:rPr>
                <w:rFonts w:ascii="宋体" w:hAnsi="宋体" w:eastAsia="宋体"/>
                <w:b w:val="0"/>
                <w:sz w:val="21"/>
              </w:rPr>
              <w:t>供过于求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贵州村超联动</w:t>
            </w:r>
          </w:p>
        </w:tc>
        <w:tc>
          <w:tcPr>
            <w:tcW w:w="1384" w:type="dxa"/>
            <w:vAlign w:val="center"/>
          </w:tcPr>
          <w:p>
            <w:pPr>
              <w:spacing w:before="0" w:after="0" w:line="240" w:lineRule="auto"/>
              <w:ind w:firstLine="0"/>
              <w:jc w:val="center"/>
            </w:pPr>
            <w:r>
              <w:rPr>
                <w:rFonts w:ascii="宋体" w:hAnsi="宋体" w:eastAsia="宋体"/>
                <w:b w:val="0"/>
                <w:sz w:val="21"/>
              </w:rPr>
              <w:t>19.8%</w:t>
            </w:r>
          </w:p>
        </w:tc>
        <w:tc>
          <w:tcPr>
            <w:tcW w:w="1384" w:type="dxa"/>
            <w:vAlign w:val="center"/>
          </w:tcPr>
          <w:p>
            <w:pPr>
              <w:spacing w:before="0" w:after="0" w:line="240" w:lineRule="auto"/>
              <w:ind w:firstLine="0"/>
              <w:jc w:val="center"/>
            </w:pPr>
            <w:r>
              <w:rPr>
                <w:rFonts w:ascii="宋体" w:hAnsi="宋体" w:eastAsia="宋体"/>
                <w:b w:val="0"/>
                <w:sz w:val="21"/>
              </w:rPr>
              <w:t>25.0%</w:t>
            </w:r>
          </w:p>
        </w:tc>
        <w:tc>
          <w:tcPr>
            <w:tcW w:w="1384" w:type="dxa"/>
            <w:vAlign w:val="center"/>
          </w:tcPr>
          <w:p>
            <w:pPr>
              <w:spacing w:before="0" w:after="0" w:line="240" w:lineRule="auto"/>
              <w:ind w:firstLine="0"/>
              <w:jc w:val="center"/>
            </w:pPr>
            <w:r>
              <w:rPr>
                <w:rFonts w:ascii="宋体" w:hAnsi="宋体" w:eastAsia="宋体"/>
                <w:b w:val="0"/>
                <w:sz w:val="21"/>
              </w:rPr>
              <w:t>+5.2%</w:t>
            </w:r>
          </w:p>
        </w:tc>
        <w:tc>
          <w:tcPr>
            <w:tcW w:w="1384" w:type="dxa"/>
            <w:vAlign w:val="center"/>
          </w:tcPr>
          <w:p>
            <w:pPr>
              <w:spacing w:before="0" w:after="0" w:line="240" w:lineRule="auto"/>
              <w:ind w:firstLine="0"/>
              <w:jc w:val="center"/>
            </w:pPr>
            <w:r>
              <w:rPr>
                <w:rFonts w:ascii="宋体" w:hAnsi="宋体" w:eastAsia="宋体"/>
                <w:b w:val="0"/>
                <w:sz w:val="21"/>
              </w:rPr>
              <w:t>+20.0%</w:t>
            </w:r>
          </w:p>
        </w:tc>
        <w:tc>
          <w:tcPr>
            <w:tcW w:w="1701" w:type="dxa"/>
            <w:vAlign w:val="center"/>
          </w:tcPr>
          <w:p>
            <w:pPr>
              <w:spacing w:before="0" w:after="0" w:line="240" w:lineRule="auto"/>
              <w:ind w:firstLine="0"/>
              <w:jc w:val="center"/>
            </w:pPr>
            <w:r>
              <w:rPr>
                <w:rFonts w:ascii="宋体" w:hAnsi="宋体" w:eastAsia="宋体"/>
                <w:b w:val="0"/>
                <w:sz w:val="21"/>
              </w:rPr>
              <w:t>基本平衡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乡村振兴/经济增收</w:t>
            </w:r>
          </w:p>
        </w:tc>
        <w:tc>
          <w:tcPr>
            <w:tcW w:w="1384" w:type="dxa"/>
            <w:vAlign w:val="center"/>
          </w:tcPr>
          <w:p>
            <w:pPr>
              <w:spacing w:before="0" w:after="0" w:line="240" w:lineRule="auto"/>
              <w:ind w:firstLine="0"/>
              <w:jc w:val="center"/>
            </w:pPr>
            <w:r>
              <w:rPr>
                <w:rFonts w:ascii="宋体" w:hAnsi="宋体" w:eastAsia="宋体"/>
                <w:b w:val="0"/>
                <w:sz w:val="21"/>
              </w:rPr>
              <w:t>4.5%</w:t>
            </w:r>
          </w:p>
        </w:tc>
        <w:tc>
          <w:tcPr>
            <w:tcW w:w="1384" w:type="dxa"/>
            <w:vAlign w:val="center"/>
          </w:tcPr>
          <w:p>
            <w:pPr>
              <w:spacing w:before="0" w:after="0" w:line="240" w:lineRule="auto"/>
              <w:ind w:firstLine="0"/>
              <w:jc w:val="center"/>
            </w:pPr>
            <w:r>
              <w:rPr>
                <w:rFonts w:ascii="宋体" w:hAnsi="宋体" w:eastAsia="宋体"/>
                <w:b w:val="0"/>
                <w:sz w:val="21"/>
              </w:rPr>
              <w:t>25.0%</w:t>
            </w:r>
          </w:p>
        </w:tc>
        <w:tc>
          <w:tcPr>
            <w:tcW w:w="1384" w:type="dxa"/>
            <w:vAlign w:val="center"/>
          </w:tcPr>
          <w:p>
            <w:pPr>
              <w:spacing w:before="0" w:after="0" w:line="240" w:lineRule="auto"/>
              <w:ind w:firstLine="0"/>
              <w:jc w:val="center"/>
            </w:pPr>
            <w:r>
              <w:rPr>
                <w:rFonts w:ascii="宋体" w:hAnsi="宋体" w:eastAsia="宋体"/>
                <w:b w:val="0"/>
                <w:sz w:val="21"/>
              </w:rPr>
              <w:t>+20.5%</w:t>
            </w:r>
          </w:p>
        </w:tc>
        <w:tc>
          <w:tcPr>
            <w:tcW w:w="1384" w:type="dxa"/>
            <w:vAlign w:val="center"/>
          </w:tcPr>
          <w:p>
            <w:pPr>
              <w:spacing w:before="0" w:after="0" w:line="240" w:lineRule="auto"/>
              <w:ind w:firstLine="0"/>
              <w:jc w:val="center"/>
            </w:pPr>
            <w:r>
              <w:rPr>
                <w:rFonts w:ascii="宋体" w:hAnsi="宋体" w:eastAsia="宋体"/>
                <w:b w:val="0"/>
                <w:sz w:val="21"/>
              </w:rPr>
              <w:t>+22.0%</w:t>
            </w:r>
          </w:p>
        </w:tc>
        <w:tc>
          <w:tcPr>
            <w:tcW w:w="1701" w:type="dxa"/>
            <w:vAlign w:val="center"/>
          </w:tcPr>
          <w:p>
            <w:pPr>
              <w:spacing w:before="0" w:after="0" w:line="240" w:lineRule="auto"/>
              <w:ind w:firstLine="0"/>
              <w:jc w:val="center"/>
            </w:pPr>
            <w:r>
              <w:rPr>
                <w:rFonts w:ascii="宋体" w:hAnsi="宋体" w:eastAsia="宋体"/>
                <w:b w:val="0"/>
                <w:sz w:val="21"/>
              </w:rPr>
              <w:t>供不应求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before="0" w:after="0" w:line="240" w:lineRule="auto"/>
              <w:ind w:firstLine="0"/>
              <w:jc w:val="center"/>
            </w:pPr>
            <w:r>
              <w:rPr>
                <w:rFonts w:ascii="宋体" w:hAnsi="宋体" w:eastAsia="宋体"/>
                <w:b w:val="0"/>
                <w:sz w:val="21"/>
              </w:rPr>
              <w:t>人文故事</w:t>
            </w:r>
          </w:p>
        </w:tc>
        <w:tc>
          <w:tcPr>
            <w:tcW w:w="1384" w:type="dxa"/>
            <w:vAlign w:val="center"/>
          </w:tcPr>
          <w:p>
            <w:pPr>
              <w:spacing w:before="0" w:after="0" w:line="240" w:lineRule="auto"/>
              <w:ind w:firstLine="0"/>
              <w:jc w:val="center"/>
            </w:pPr>
            <w:r>
              <w:rPr>
                <w:rFonts w:ascii="宋体" w:hAnsi="宋体" w:eastAsia="宋体"/>
                <w:b w:val="0"/>
                <w:sz w:val="21"/>
              </w:rPr>
              <w:t>3.5%</w:t>
            </w:r>
          </w:p>
        </w:tc>
        <w:tc>
          <w:tcPr>
            <w:tcW w:w="1384" w:type="dxa"/>
            <w:vAlign w:val="center"/>
          </w:tcPr>
          <w:p>
            <w:pPr>
              <w:spacing w:before="0" w:after="0" w:line="240" w:lineRule="auto"/>
              <w:ind w:firstLine="0"/>
              <w:jc w:val="center"/>
            </w:pPr>
            <w:r>
              <w:rPr>
                <w:rFonts w:ascii="宋体" w:hAnsi="宋体" w:eastAsia="宋体"/>
                <w:b w:val="0"/>
                <w:sz w:val="21"/>
              </w:rPr>
              <w:t>12.5%</w:t>
            </w:r>
          </w:p>
        </w:tc>
        <w:tc>
          <w:tcPr>
            <w:tcW w:w="1384" w:type="dxa"/>
            <w:vAlign w:val="center"/>
          </w:tcPr>
          <w:p>
            <w:pPr>
              <w:spacing w:before="0" w:after="0" w:line="240" w:lineRule="auto"/>
              <w:ind w:firstLine="0"/>
              <w:jc w:val="center"/>
            </w:pPr>
            <w:r>
              <w:rPr>
                <w:rFonts w:ascii="宋体" w:hAnsi="宋体" w:eastAsia="宋体"/>
                <w:b w:val="0"/>
                <w:sz w:val="21"/>
              </w:rPr>
              <w:t>+9.0%</w:t>
            </w:r>
          </w:p>
        </w:tc>
        <w:tc>
          <w:tcPr>
            <w:tcW w:w="1384" w:type="dxa"/>
            <w:vAlign w:val="center"/>
          </w:tcPr>
          <w:p>
            <w:pPr>
              <w:spacing w:before="0" w:after="0" w:line="240" w:lineRule="auto"/>
              <w:ind w:firstLine="0"/>
              <w:jc w:val="center"/>
            </w:pPr>
            <w:r>
              <w:rPr>
                <w:rFonts w:ascii="宋体" w:hAnsi="宋体" w:eastAsia="宋体"/>
                <w:b w:val="0"/>
                <w:sz w:val="21"/>
              </w:rPr>
              <w:t>+2.5%</w:t>
            </w:r>
          </w:p>
        </w:tc>
        <w:tc>
          <w:tcPr>
            <w:tcW w:w="1701" w:type="dxa"/>
            <w:vAlign w:val="center"/>
          </w:tcPr>
          <w:p>
            <w:pPr>
              <w:spacing w:before="0" w:after="0" w:line="240" w:lineRule="auto"/>
              <w:ind w:firstLine="0"/>
              <w:jc w:val="center"/>
            </w:pPr>
            <w:r>
              <w:rPr>
                <w:rFonts w:ascii="宋体" w:hAnsi="宋体" w:eastAsia="宋体"/>
                <w:b w:val="0"/>
                <w:sz w:val="21"/>
              </w:rPr>
              <w:t>基本平衡</w:t>
            </w:r>
          </w:p>
        </w:tc>
      </w:tr>
    </w:tbl>
    <w:p>
      <w:pPr>
        <w:rPr>
          <w:rFonts w:ascii="宋体" w:hAnsi="宋体" w:eastAsia="宋体"/>
          <w:b/>
          <w:color w:val="000000"/>
        </w:rPr>
      </w:pPr>
      <w:r>
        <w:rPr>
          <w:rFonts w:ascii="宋体" w:hAnsi="宋体" w:eastAsia="宋体"/>
          <w:b w:val="0"/>
          <w:sz w:val="24"/>
        </w:rPr>
        <w:t>从供需差值来看，可供于求的主题集中在文旅体验类：</w:t>
      </w:r>
      <w:r>
        <w:rPr>
          <w:rFonts w:ascii="宋体" w:hAnsi="宋体" w:eastAsia="宋体"/>
          <w:b/>
          <w:bCs/>
          <w:sz w:val="24"/>
        </w:rPr>
        <w:t>“美食特产/文创产品”（+60.0%）、“本地民俗文化展示”（+36.8%）和“现场气氛”（+35.1%）的供需差值最大</w:t>
      </w:r>
      <w:r>
        <w:rPr>
          <w:rFonts w:ascii="宋体" w:hAnsi="宋体" w:eastAsia="宋体"/>
          <w:b w:val="0"/>
          <w:sz w:val="24"/>
        </w:rPr>
        <w:t>，是AI推荐算法应重点加权的三个方向。而“足球赛事集锦/精彩进球”（-11.0%）和“贵州村超联动”（+5.2%）的供需差值较小或为负，表明这两类内容的平台供给已经接近甚至超过了受众的真实需求，应适度控制推荐比例。</w:t>
      </w:r>
    </w:p>
    <w:p>
      <w:pPr>
        <w:pStyle w:val="4"/>
      </w:pPr>
      <w:r>
        <w:rPr>
          <w:rFonts w:ascii="宋体" w:hAnsi="宋体" w:eastAsia="宋体"/>
          <w:b/>
          <w:color w:val="000000"/>
        </w:rPr>
        <w:t>（四）供需错位核心发现</w:t>
      </w:r>
      <w:bookmarkEnd w:id="26"/>
    </w:p>
    <w:p>
      <w:r>
        <w:rPr>
          <w:rFonts w:ascii="宋体" w:hAnsi="宋体" w:eastAsia="宋体"/>
          <w:b w:val="0"/>
          <w:sz w:val="24"/>
        </w:rPr>
        <w:t>综合三表排序对比、供需差值分析和IPA矩阵定位，本研究提炼出以下三项核心发现：</w:t>
      </w:r>
    </w:p>
    <w:p>
      <w:r>
        <w:rPr>
          <w:rFonts w:ascii="宋体" w:hAnsi="宋体" w:eastAsia="宋体"/>
          <w:b w:val="0"/>
          <w:sz w:val="24"/>
        </w:rPr>
        <w:t xml:space="preserve">1. </w:t>
      </w:r>
      <w:r>
        <w:rPr>
          <w:rFonts w:ascii="宋体" w:hAnsi="宋体" w:eastAsia="宋体"/>
          <w:b/>
          <w:bCs/>
          <w:sz w:val="24"/>
        </w:rPr>
        <w:t>美食特产类内容是最大的结构性供需错位</w:t>
      </w:r>
      <w:r>
        <w:rPr>
          <w:rFonts w:ascii="宋体" w:hAnsi="宋体" w:eastAsia="宋体"/>
          <w:b w:val="0"/>
          <w:sz w:val="24"/>
        </w:rPr>
        <w:t>。受众需求62.5%（并列第一），平台流量仅2.5%（排名第七），供需差+60.0%。但在内容供给端有约14%的素材储备，说明“不是没内容，是内容没有被推出来”。推荐算法的流量分配结构调整是解决这一问题的首要杠杆。</w:t>
      </w:r>
    </w:p>
    <w:p>
      <w:r>
        <w:rPr>
          <w:rFonts w:ascii="宋体" w:hAnsi="宋体" w:eastAsia="宋体"/>
          <w:b w:val="0"/>
          <w:sz w:val="24"/>
        </w:rPr>
        <w:t xml:space="preserve">2. </w:t>
      </w:r>
      <w:r>
        <w:rPr>
          <w:rFonts w:ascii="宋体" w:hAnsi="宋体" w:eastAsia="宋体"/>
          <w:b/>
          <w:bCs/>
          <w:sz w:val="24"/>
        </w:rPr>
        <w:t>足球赛事内容正处于从“优势区”向“低回报区”迁移的临界点</w:t>
      </w:r>
      <w:r>
        <w:rPr>
          <w:rFonts w:ascii="宋体" w:hAnsi="宋体" w:eastAsia="宋体"/>
          <w:b w:val="0"/>
          <w:sz w:val="24"/>
        </w:rPr>
        <w:t>。平台流量48.5%远超受众需求37.5%，供需差-11.0%。继续以赛事集锦为核心驱动算法的推荐策略，将面临用户审美疲劳和内容边际效益递减的风险。AI推荐算法需要从“赛事中心化”向“文旅均衡化”转型。</w:t>
      </w:r>
    </w:p>
    <w:p>
      <w:r>
        <w:rPr>
          <w:rFonts w:ascii="宋体" w:hAnsi="宋体" w:eastAsia="宋体"/>
          <w:b w:val="0"/>
          <w:sz w:val="24"/>
        </w:rPr>
        <w:t xml:space="preserve">3. </w:t>
      </w:r>
      <w:r>
        <w:rPr>
          <w:rFonts w:ascii="宋体" w:hAnsi="宋体" w:eastAsia="宋体"/>
          <w:b/>
          <w:bCs/>
          <w:sz w:val="24"/>
        </w:rPr>
        <w:t>民俗文化和现场气氛是需求侧的“稳健双引擎”</w:t>
      </w:r>
      <w:r>
        <w:rPr>
          <w:rFonts w:ascii="宋体" w:hAnsi="宋体" w:eastAsia="宋体"/>
          <w:b w:val="0"/>
          <w:sz w:val="24"/>
        </w:rPr>
        <w:t>。两个主题的受众需求（62.5%、50.0%）和平台流量（25.7%、14.9%）虽仍有差距，但供需格局相对健康。它们作为村超文旅IP的核心差异化优势（425场文化展演、710+非遗节目），应持续稳步扩大推荐权重。</w:t>
      </w:r>
    </w:p>
    <w:p>
      <w:pPr>
        <w:pStyle w:val="3"/>
      </w:pPr>
      <w:bookmarkStart w:id="27" w:name="_Toc21071"/>
      <w:r>
        <w:rPr>
          <w:rFonts w:ascii="宋体" w:hAnsi="宋体" w:eastAsia="宋体"/>
          <w:b/>
          <w:color w:val="000000"/>
        </w:rPr>
        <w:t>六、典型案例分析</w:t>
      </w:r>
      <w:bookmarkEnd w:id="27"/>
    </w:p>
    <w:p>
      <w:r>
        <w:rPr>
          <w:rFonts w:ascii="宋体" w:hAnsi="宋体" w:eastAsia="宋体"/>
          <w:b w:val="0"/>
          <w:sz w:val="24"/>
        </w:rPr>
        <w:t>为深入理解贵州村超各内容主题在社媒平台上的传播特征与爆款规律，以下从七个主题中选取六个代表性案例，涵盖抖音、小红书、视频号三大平台。每个案例从内容形式、传播效果和成功要素三个维度进行解析，为后续AI推荐算法策略制定提供实践参考。</w:t>
      </w:r>
    </w:p>
    <w:p>
      <w:pPr>
        <w:spacing w:before="120" w:after="60" w:line="360" w:lineRule="auto"/>
        <w:ind w:firstLine="0"/>
        <w:jc w:val="center"/>
      </w:pPr>
      <w:r>
        <w:rPr>
          <w:rFonts w:ascii="宋体" w:hAnsi="宋体" w:eastAsia="宋体"/>
          <w:b/>
          <w:sz w:val="21"/>
        </w:rPr>
        <w:t>表7 贵州村超各主题典型传播案例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142"/>
        <w:gridCol w:w="860"/>
        <w:gridCol w:w="2657"/>
        <w:gridCol w:w="1207"/>
        <w:gridCol w:w="1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828" w:type="dxa"/>
            <w:shd w:val="clear" w:color="auto" w:fill="DAE3F3"/>
            <w:vAlign w:val="center"/>
          </w:tcPr>
          <w:p>
            <w:pPr>
              <w:spacing w:before="0" w:after="0" w:line="240" w:lineRule="auto"/>
              <w:ind w:firstLine="0"/>
              <w:jc w:val="center"/>
            </w:pPr>
            <w:r>
              <w:rPr>
                <w:rFonts w:ascii="宋体" w:hAnsi="宋体" w:eastAsia="宋体"/>
                <w:b/>
                <w:sz w:val="21"/>
              </w:rPr>
              <w:t>案例</w:t>
            </w:r>
          </w:p>
        </w:tc>
        <w:tc>
          <w:tcPr>
            <w:tcW w:w="1142" w:type="dxa"/>
            <w:shd w:val="clear" w:color="auto" w:fill="DAE3F3"/>
            <w:vAlign w:val="center"/>
          </w:tcPr>
          <w:p>
            <w:pPr>
              <w:spacing w:before="0" w:after="0" w:line="240" w:lineRule="auto"/>
              <w:ind w:firstLine="0"/>
              <w:jc w:val="center"/>
            </w:pPr>
            <w:r>
              <w:rPr>
                <w:rFonts w:ascii="宋体" w:hAnsi="宋体" w:eastAsia="宋体"/>
                <w:b/>
                <w:sz w:val="21"/>
              </w:rPr>
              <w:t>内容主题</w:t>
            </w:r>
          </w:p>
        </w:tc>
        <w:tc>
          <w:tcPr>
            <w:tcW w:w="860" w:type="dxa"/>
            <w:shd w:val="clear" w:color="auto" w:fill="DAE3F3"/>
            <w:vAlign w:val="center"/>
          </w:tcPr>
          <w:p>
            <w:pPr>
              <w:spacing w:before="0" w:after="0" w:line="240" w:lineRule="auto"/>
              <w:ind w:firstLine="0"/>
              <w:jc w:val="center"/>
            </w:pPr>
            <w:r>
              <w:rPr>
                <w:rFonts w:ascii="宋体" w:hAnsi="宋体" w:eastAsia="宋体"/>
                <w:b/>
                <w:sz w:val="21"/>
              </w:rPr>
              <w:t>平台</w:t>
            </w:r>
          </w:p>
        </w:tc>
        <w:tc>
          <w:tcPr>
            <w:tcW w:w="2657" w:type="dxa"/>
            <w:shd w:val="clear" w:color="auto" w:fill="DAE3F3"/>
            <w:vAlign w:val="center"/>
          </w:tcPr>
          <w:p>
            <w:pPr>
              <w:spacing w:before="0" w:after="0" w:line="240" w:lineRule="auto"/>
              <w:ind w:firstLine="0"/>
              <w:jc w:val="center"/>
            </w:pPr>
            <w:r>
              <w:rPr>
                <w:rFonts w:ascii="宋体" w:hAnsi="宋体" w:eastAsia="宋体"/>
                <w:b/>
                <w:sz w:val="21"/>
              </w:rPr>
              <w:t>代表作品</w:t>
            </w:r>
          </w:p>
        </w:tc>
        <w:tc>
          <w:tcPr>
            <w:tcW w:w="1207" w:type="dxa"/>
            <w:shd w:val="clear" w:color="auto" w:fill="DAE3F3"/>
            <w:vAlign w:val="center"/>
          </w:tcPr>
          <w:p>
            <w:pPr>
              <w:spacing w:before="0" w:after="0" w:line="240" w:lineRule="auto"/>
              <w:ind w:firstLine="0"/>
              <w:jc w:val="center"/>
            </w:pPr>
            <w:r>
              <w:rPr>
                <w:rFonts w:ascii="宋体" w:hAnsi="宋体" w:eastAsia="宋体"/>
                <w:b/>
                <w:sz w:val="21"/>
              </w:rPr>
              <w:t>传播效果</w:t>
            </w:r>
          </w:p>
        </w:tc>
        <w:tc>
          <w:tcPr>
            <w:tcW w:w="1828" w:type="dxa"/>
            <w:shd w:val="clear" w:color="auto" w:fill="DAE3F3"/>
            <w:vAlign w:val="center"/>
          </w:tcPr>
          <w:p>
            <w:pPr>
              <w:spacing w:before="0" w:after="0" w:line="240" w:lineRule="auto"/>
              <w:ind w:firstLine="0"/>
              <w:jc w:val="center"/>
            </w:pPr>
            <w:r>
              <w:rPr>
                <w:rFonts w:ascii="宋体" w:hAnsi="宋体" w:eastAsia="宋体"/>
                <w:b/>
                <w:sz w:val="21"/>
              </w:rPr>
              <w:t>成功要素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pPr>
              <w:spacing w:before="0" w:after="0" w:line="240" w:lineRule="auto"/>
              <w:ind w:firstLine="0"/>
              <w:jc w:val="center"/>
            </w:pPr>
            <w:r>
              <w:rPr>
                <w:rFonts w:ascii="宋体" w:hAnsi="宋体" w:eastAsia="宋体"/>
                <w:b w:val="0"/>
                <w:sz w:val="21"/>
              </w:rPr>
              <w:t>案例1</w:t>
            </w:r>
          </w:p>
        </w:tc>
        <w:tc>
          <w:tcPr>
            <w:tcW w:w="1142" w:type="dxa"/>
            <w:vAlign w:val="center"/>
          </w:tcPr>
          <w:p>
            <w:pPr>
              <w:spacing w:before="0" w:after="0" w:line="240" w:lineRule="auto"/>
              <w:ind w:firstLine="0"/>
              <w:jc w:val="center"/>
            </w:pPr>
            <w:r>
              <w:rPr>
                <w:rFonts w:ascii="宋体" w:hAnsi="宋体" w:eastAsia="宋体"/>
                <w:b w:val="0"/>
                <w:sz w:val="21"/>
              </w:rPr>
              <w:t>足球赛事集锦/精彩进球</w:t>
            </w:r>
          </w:p>
        </w:tc>
        <w:tc>
          <w:tcPr>
            <w:tcW w:w="860" w:type="dxa"/>
            <w:vAlign w:val="center"/>
          </w:tcPr>
          <w:p>
            <w:pPr>
              <w:spacing w:before="0" w:after="0" w:line="240" w:lineRule="auto"/>
              <w:ind w:firstLine="0"/>
              <w:jc w:val="center"/>
            </w:pPr>
            <w:r>
              <w:rPr>
                <w:rFonts w:ascii="宋体" w:hAnsi="宋体" w:eastAsia="宋体"/>
                <w:b w:val="0"/>
                <w:sz w:val="21"/>
              </w:rPr>
              <w:t>抖音</w:t>
            </w:r>
          </w:p>
        </w:tc>
        <w:tc>
          <w:tcPr>
            <w:tcW w:w="2657" w:type="dxa"/>
            <w:vAlign w:val="center"/>
          </w:tcPr>
          <w:p>
            <w:pPr>
              <w:spacing w:before="0" w:after="0" w:line="240" w:lineRule="auto"/>
              <w:ind w:firstLine="0"/>
              <w:jc w:val="center"/>
            </w:pPr>
            <w:r>
              <w:rPr>
                <w:rFonts w:ascii="宋体" w:hAnsi="宋体" w:eastAsia="宋体"/>
                <w:b w:val="0"/>
                <w:sz w:val="21"/>
              </w:rPr>
              <w:t>贵州村超总决赛精彩进球集锦：世界波+倒钩+团队配合</w:t>
            </w:r>
          </w:p>
        </w:tc>
        <w:tc>
          <w:tcPr>
            <w:tcW w:w="1207" w:type="dxa"/>
            <w:vAlign w:val="center"/>
          </w:tcPr>
          <w:p>
            <w:pPr>
              <w:spacing w:before="0" w:after="0" w:line="240" w:lineRule="auto"/>
              <w:ind w:firstLine="0"/>
              <w:jc w:val="center"/>
            </w:pPr>
            <w:r>
              <w:rPr>
                <w:rFonts w:ascii="宋体" w:hAnsi="宋体" w:eastAsia="宋体"/>
                <w:b w:val="0"/>
                <w:sz w:val="21"/>
              </w:rPr>
              <w:t>总决赛单场在线观看2735万人次，现场6万人</w:t>
            </w:r>
          </w:p>
        </w:tc>
        <w:tc>
          <w:tcPr>
            <w:tcW w:w="1828" w:type="dxa"/>
            <w:vAlign w:val="center"/>
          </w:tcPr>
          <w:p>
            <w:pPr>
              <w:spacing w:before="0" w:after="0" w:line="240" w:lineRule="auto"/>
              <w:ind w:firstLine="0"/>
              <w:jc w:val="center"/>
            </w:pPr>
            <w:r>
              <w:rPr>
                <w:rFonts w:ascii="宋体" w:hAnsi="宋体" w:eastAsia="宋体"/>
                <w:b w:val="0"/>
                <w:sz w:val="21"/>
              </w:rPr>
              <w:t>即时性+视觉冲击力+赛事IP号召力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pPr>
              <w:spacing w:before="0" w:after="0" w:line="240" w:lineRule="auto"/>
              <w:ind w:firstLine="0"/>
              <w:jc w:val="center"/>
            </w:pPr>
            <w:r>
              <w:rPr>
                <w:rFonts w:ascii="宋体" w:hAnsi="宋体" w:eastAsia="宋体"/>
                <w:b w:val="0"/>
                <w:sz w:val="21"/>
              </w:rPr>
              <w:t>案例2</w:t>
            </w:r>
          </w:p>
        </w:tc>
        <w:tc>
          <w:tcPr>
            <w:tcW w:w="1142" w:type="dxa"/>
            <w:vAlign w:val="center"/>
          </w:tcPr>
          <w:p>
            <w:pPr>
              <w:spacing w:before="0" w:after="0" w:line="240" w:lineRule="auto"/>
              <w:ind w:firstLine="0"/>
              <w:jc w:val="center"/>
            </w:pPr>
            <w:r>
              <w:rPr>
                <w:rFonts w:ascii="宋体" w:hAnsi="宋体" w:eastAsia="宋体"/>
                <w:b w:val="0"/>
                <w:sz w:val="21"/>
              </w:rPr>
              <w:t>人文故事</w:t>
            </w:r>
          </w:p>
        </w:tc>
        <w:tc>
          <w:tcPr>
            <w:tcW w:w="860" w:type="dxa"/>
            <w:vAlign w:val="center"/>
          </w:tcPr>
          <w:p>
            <w:pPr>
              <w:spacing w:before="0" w:after="0" w:line="240" w:lineRule="auto"/>
              <w:ind w:firstLine="0"/>
              <w:jc w:val="center"/>
            </w:pPr>
            <w:r>
              <w:rPr>
                <w:rFonts w:ascii="宋体" w:hAnsi="宋体" w:eastAsia="宋体"/>
                <w:b w:val="0"/>
                <w:sz w:val="21"/>
              </w:rPr>
              <w:t>抖音/视频号</w:t>
            </w:r>
          </w:p>
        </w:tc>
        <w:tc>
          <w:tcPr>
            <w:tcW w:w="2657" w:type="dxa"/>
            <w:vAlign w:val="center"/>
          </w:tcPr>
          <w:p>
            <w:pPr>
              <w:spacing w:before="0" w:after="0" w:line="240" w:lineRule="auto"/>
              <w:ind w:firstLine="0"/>
              <w:jc w:val="center"/>
            </w:pPr>
            <w:r>
              <w:rPr>
                <w:rFonts w:ascii="宋体" w:hAnsi="宋体" w:eastAsia="宋体"/>
                <w:b w:val="0"/>
                <w:sz w:val="21"/>
              </w:rPr>
              <w:t>95岁侗家奶奶赞助村超球队，为球员缝制队旗</w:t>
            </w:r>
          </w:p>
        </w:tc>
        <w:tc>
          <w:tcPr>
            <w:tcW w:w="1207" w:type="dxa"/>
            <w:vAlign w:val="center"/>
          </w:tcPr>
          <w:p>
            <w:pPr>
              <w:spacing w:before="0" w:after="0" w:line="240" w:lineRule="auto"/>
              <w:ind w:firstLine="0"/>
              <w:jc w:val="center"/>
            </w:pPr>
            <w:r>
              <w:rPr>
                <w:rFonts w:ascii="宋体" w:hAnsi="宋体" w:eastAsia="宋体"/>
                <w:b w:val="0"/>
                <w:sz w:val="21"/>
              </w:rPr>
              <w:t>全网播放量超5亿次</w:t>
            </w:r>
          </w:p>
        </w:tc>
        <w:tc>
          <w:tcPr>
            <w:tcW w:w="1828" w:type="dxa"/>
            <w:vAlign w:val="center"/>
          </w:tcPr>
          <w:p>
            <w:pPr>
              <w:spacing w:before="0" w:after="0" w:line="240" w:lineRule="auto"/>
              <w:ind w:firstLine="0"/>
              <w:jc w:val="center"/>
            </w:pPr>
            <w:r>
              <w:rPr>
                <w:rFonts w:ascii="宋体" w:hAnsi="宋体" w:eastAsia="宋体"/>
                <w:b w:val="0"/>
                <w:sz w:val="21"/>
              </w:rPr>
              <w:t>真实共情+年龄反差+正能量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pPr>
              <w:spacing w:before="0" w:after="0" w:line="240" w:lineRule="auto"/>
              <w:ind w:firstLine="0"/>
              <w:jc w:val="center"/>
            </w:pPr>
            <w:r>
              <w:rPr>
                <w:rFonts w:ascii="宋体" w:hAnsi="宋体" w:eastAsia="宋体"/>
                <w:b w:val="0"/>
                <w:sz w:val="21"/>
              </w:rPr>
              <w:t>案例3</w:t>
            </w:r>
          </w:p>
        </w:tc>
        <w:tc>
          <w:tcPr>
            <w:tcW w:w="1142" w:type="dxa"/>
            <w:vAlign w:val="center"/>
          </w:tcPr>
          <w:p>
            <w:pPr>
              <w:spacing w:before="0" w:after="0" w:line="240" w:lineRule="auto"/>
              <w:ind w:firstLine="0"/>
              <w:jc w:val="center"/>
            </w:pPr>
            <w:r>
              <w:rPr>
                <w:rFonts w:ascii="宋体" w:hAnsi="宋体" w:eastAsia="宋体"/>
                <w:b w:val="0"/>
                <w:sz w:val="21"/>
              </w:rPr>
              <w:t>本地民俗文化展示</w:t>
            </w:r>
          </w:p>
        </w:tc>
        <w:tc>
          <w:tcPr>
            <w:tcW w:w="860" w:type="dxa"/>
            <w:vAlign w:val="center"/>
          </w:tcPr>
          <w:p>
            <w:pPr>
              <w:spacing w:before="0" w:after="0" w:line="240" w:lineRule="auto"/>
              <w:ind w:firstLine="0"/>
              <w:jc w:val="center"/>
            </w:pPr>
            <w:r>
              <w:rPr>
                <w:rFonts w:ascii="宋体" w:hAnsi="宋体" w:eastAsia="宋体"/>
                <w:b w:val="0"/>
                <w:sz w:val="21"/>
              </w:rPr>
              <w:t>抖音/视频号</w:t>
            </w:r>
          </w:p>
        </w:tc>
        <w:tc>
          <w:tcPr>
            <w:tcW w:w="2657" w:type="dxa"/>
            <w:vAlign w:val="center"/>
          </w:tcPr>
          <w:p>
            <w:pPr>
              <w:spacing w:before="0" w:after="0" w:line="240" w:lineRule="auto"/>
              <w:ind w:firstLine="0"/>
              <w:jc w:val="center"/>
            </w:pPr>
            <w:r>
              <w:rPr>
                <w:rFonts w:ascii="宋体" w:hAnsi="宋体" w:eastAsia="宋体"/>
                <w:b w:val="0"/>
                <w:sz w:val="21"/>
              </w:rPr>
              <w:t>侗族大歌响彻村超赛场，千人合唱震撼全场</w:t>
            </w:r>
          </w:p>
        </w:tc>
        <w:tc>
          <w:tcPr>
            <w:tcW w:w="1207" w:type="dxa"/>
            <w:vAlign w:val="center"/>
          </w:tcPr>
          <w:p>
            <w:pPr>
              <w:spacing w:before="0" w:after="0" w:line="240" w:lineRule="auto"/>
              <w:ind w:firstLine="0"/>
              <w:jc w:val="center"/>
            </w:pPr>
            <w:r>
              <w:rPr>
                <w:rFonts w:ascii="宋体" w:hAnsi="宋体" w:eastAsia="宋体"/>
                <w:b w:val="0"/>
                <w:sz w:val="21"/>
              </w:rPr>
              <w:t>820万点赞，全网广泛传播</w:t>
            </w:r>
          </w:p>
        </w:tc>
        <w:tc>
          <w:tcPr>
            <w:tcW w:w="1828" w:type="dxa"/>
            <w:vAlign w:val="center"/>
          </w:tcPr>
          <w:p>
            <w:pPr>
              <w:spacing w:before="0" w:after="0" w:line="240" w:lineRule="auto"/>
              <w:ind w:firstLine="0"/>
              <w:jc w:val="center"/>
            </w:pPr>
            <w:r>
              <w:rPr>
                <w:rFonts w:ascii="宋体" w:hAnsi="宋体" w:eastAsia="宋体"/>
                <w:b w:val="0"/>
                <w:sz w:val="21"/>
              </w:rPr>
              <w:t>文化稀缺性+视听震撼+赛事场景赋能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pPr>
              <w:spacing w:before="0" w:after="0" w:line="240" w:lineRule="auto"/>
              <w:ind w:firstLine="0"/>
              <w:jc w:val="center"/>
            </w:pPr>
            <w:r>
              <w:rPr>
                <w:rFonts w:ascii="宋体" w:hAnsi="宋体" w:eastAsia="宋体"/>
                <w:b w:val="0"/>
                <w:sz w:val="21"/>
              </w:rPr>
              <w:t>案例4</w:t>
            </w:r>
          </w:p>
        </w:tc>
        <w:tc>
          <w:tcPr>
            <w:tcW w:w="1142" w:type="dxa"/>
            <w:vAlign w:val="center"/>
          </w:tcPr>
          <w:p>
            <w:pPr>
              <w:spacing w:before="0" w:after="0" w:line="240" w:lineRule="auto"/>
              <w:ind w:firstLine="0"/>
              <w:jc w:val="center"/>
            </w:pPr>
            <w:r>
              <w:rPr>
                <w:rFonts w:ascii="宋体" w:hAnsi="宋体" w:eastAsia="宋体"/>
                <w:b w:val="0"/>
                <w:sz w:val="21"/>
              </w:rPr>
              <w:t>现场气氛</w:t>
            </w:r>
          </w:p>
        </w:tc>
        <w:tc>
          <w:tcPr>
            <w:tcW w:w="860" w:type="dxa"/>
            <w:vAlign w:val="center"/>
          </w:tcPr>
          <w:p>
            <w:pPr>
              <w:spacing w:before="0" w:after="0" w:line="240" w:lineRule="auto"/>
              <w:ind w:firstLine="0"/>
              <w:jc w:val="center"/>
            </w:pPr>
            <w:r>
              <w:rPr>
                <w:rFonts w:ascii="宋体" w:hAnsi="宋体" w:eastAsia="宋体"/>
                <w:b w:val="0"/>
                <w:sz w:val="21"/>
              </w:rPr>
              <w:t>抖音</w:t>
            </w:r>
          </w:p>
        </w:tc>
        <w:tc>
          <w:tcPr>
            <w:tcW w:w="2657" w:type="dxa"/>
            <w:vAlign w:val="center"/>
          </w:tcPr>
          <w:p>
            <w:pPr>
              <w:spacing w:before="0" w:after="0" w:line="240" w:lineRule="auto"/>
              <w:ind w:firstLine="0"/>
              <w:jc w:val="center"/>
            </w:pPr>
            <w:r>
              <w:rPr>
                <w:rFonts w:ascii="宋体" w:hAnsi="宋体" w:eastAsia="宋体"/>
                <w:b w:val="0"/>
                <w:sz w:val="21"/>
              </w:rPr>
              <w:t>村超中场：苗族啦啦队燃爆全场，观众自发加入</w:t>
            </w:r>
          </w:p>
        </w:tc>
        <w:tc>
          <w:tcPr>
            <w:tcW w:w="1207" w:type="dxa"/>
            <w:vAlign w:val="center"/>
          </w:tcPr>
          <w:p>
            <w:pPr>
              <w:spacing w:before="0" w:after="0" w:line="240" w:lineRule="auto"/>
              <w:ind w:firstLine="0"/>
              <w:jc w:val="center"/>
            </w:pPr>
            <w:r>
              <w:rPr>
                <w:rFonts w:ascii="宋体" w:hAnsi="宋体" w:eastAsia="宋体"/>
                <w:b w:val="0"/>
                <w:sz w:val="21"/>
              </w:rPr>
              <w:t>630万点赞，啦啦队文化出圈</w:t>
            </w:r>
          </w:p>
        </w:tc>
        <w:tc>
          <w:tcPr>
            <w:tcW w:w="1828" w:type="dxa"/>
            <w:vAlign w:val="center"/>
          </w:tcPr>
          <w:p>
            <w:pPr>
              <w:spacing w:before="0" w:after="0" w:line="240" w:lineRule="auto"/>
              <w:ind w:firstLine="0"/>
              <w:jc w:val="center"/>
            </w:pPr>
            <w:r>
              <w:rPr>
                <w:rFonts w:ascii="宋体" w:hAnsi="宋体" w:eastAsia="宋体"/>
                <w:b w:val="0"/>
                <w:sz w:val="21"/>
              </w:rPr>
              <w:t>参与感+情绪感染+UGC自传播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pPr>
              <w:spacing w:before="0" w:after="0" w:line="240" w:lineRule="auto"/>
              <w:ind w:firstLine="0"/>
              <w:jc w:val="center"/>
            </w:pPr>
            <w:r>
              <w:rPr>
                <w:rFonts w:ascii="宋体" w:hAnsi="宋体" w:eastAsia="宋体"/>
                <w:b w:val="0"/>
                <w:sz w:val="21"/>
              </w:rPr>
              <w:t>案例5</w:t>
            </w:r>
          </w:p>
        </w:tc>
        <w:tc>
          <w:tcPr>
            <w:tcW w:w="1142" w:type="dxa"/>
            <w:vAlign w:val="center"/>
          </w:tcPr>
          <w:p>
            <w:pPr>
              <w:spacing w:before="0" w:after="0" w:line="240" w:lineRule="auto"/>
              <w:ind w:firstLine="0"/>
              <w:jc w:val="center"/>
            </w:pPr>
            <w:r>
              <w:rPr>
                <w:rFonts w:ascii="宋体" w:hAnsi="宋体" w:eastAsia="宋体"/>
                <w:b w:val="0"/>
                <w:sz w:val="21"/>
              </w:rPr>
              <w:t>美食特产/文创产品</w:t>
            </w:r>
          </w:p>
        </w:tc>
        <w:tc>
          <w:tcPr>
            <w:tcW w:w="860" w:type="dxa"/>
            <w:vAlign w:val="center"/>
          </w:tcPr>
          <w:p>
            <w:pPr>
              <w:spacing w:before="0" w:after="0" w:line="240" w:lineRule="auto"/>
              <w:ind w:firstLine="0"/>
              <w:jc w:val="center"/>
            </w:pPr>
            <w:r>
              <w:rPr>
                <w:rFonts w:ascii="宋体" w:hAnsi="宋体" w:eastAsia="宋体"/>
                <w:b w:val="0"/>
                <w:sz w:val="21"/>
              </w:rPr>
              <w:t>小红书/抖音</w:t>
            </w:r>
          </w:p>
        </w:tc>
        <w:tc>
          <w:tcPr>
            <w:tcW w:w="2657" w:type="dxa"/>
            <w:vAlign w:val="center"/>
          </w:tcPr>
          <w:p>
            <w:pPr>
              <w:spacing w:before="0" w:after="0" w:line="240" w:lineRule="auto"/>
              <w:ind w:firstLine="0"/>
              <w:jc w:val="center"/>
            </w:pPr>
            <w:r>
              <w:rPr>
                <w:rFonts w:ascii="宋体" w:hAnsi="宋体" w:eastAsia="宋体"/>
                <w:b w:val="0"/>
                <w:sz w:val="21"/>
              </w:rPr>
              <w:t>村超美食联赛：酸汤鱼VS卷粉，谁才是贵州第一味？</w:t>
            </w:r>
          </w:p>
        </w:tc>
        <w:tc>
          <w:tcPr>
            <w:tcW w:w="1207" w:type="dxa"/>
            <w:vAlign w:val="center"/>
          </w:tcPr>
          <w:p>
            <w:pPr>
              <w:spacing w:before="0" w:after="0" w:line="240" w:lineRule="auto"/>
              <w:ind w:firstLine="0"/>
              <w:jc w:val="center"/>
            </w:pPr>
            <w:r>
              <w:rPr>
                <w:rFonts w:ascii="宋体" w:hAnsi="宋体" w:eastAsia="宋体"/>
                <w:b w:val="0"/>
                <w:sz w:val="21"/>
              </w:rPr>
              <w:t>450万点赞，酒旅订单增长160倍</w:t>
            </w:r>
          </w:p>
        </w:tc>
        <w:tc>
          <w:tcPr>
            <w:tcW w:w="1828" w:type="dxa"/>
            <w:vAlign w:val="center"/>
          </w:tcPr>
          <w:p>
            <w:pPr>
              <w:spacing w:before="0" w:after="0" w:line="240" w:lineRule="auto"/>
              <w:ind w:firstLine="0"/>
              <w:jc w:val="center"/>
            </w:pPr>
            <w:r>
              <w:rPr>
                <w:rFonts w:ascii="宋体" w:hAnsi="宋体" w:eastAsia="宋体"/>
                <w:b w:val="0"/>
                <w:sz w:val="21"/>
              </w:rPr>
              <w:t>种草力+地域独特性+消费转化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pPr>
              <w:spacing w:before="0" w:after="0" w:line="240" w:lineRule="auto"/>
              <w:ind w:firstLine="0"/>
              <w:jc w:val="center"/>
            </w:pPr>
            <w:r>
              <w:rPr>
                <w:rFonts w:ascii="宋体" w:hAnsi="宋体" w:eastAsia="宋体"/>
                <w:b w:val="0"/>
                <w:sz w:val="21"/>
              </w:rPr>
              <w:t>案例6</w:t>
            </w:r>
          </w:p>
        </w:tc>
        <w:tc>
          <w:tcPr>
            <w:tcW w:w="1142" w:type="dxa"/>
            <w:vAlign w:val="center"/>
          </w:tcPr>
          <w:p>
            <w:pPr>
              <w:spacing w:before="0" w:after="0" w:line="240" w:lineRule="auto"/>
              <w:ind w:firstLine="0"/>
              <w:jc w:val="center"/>
            </w:pPr>
            <w:r>
              <w:rPr>
                <w:rFonts w:ascii="宋体" w:hAnsi="宋体" w:eastAsia="宋体"/>
                <w:b w:val="0"/>
                <w:sz w:val="21"/>
              </w:rPr>
              <w:t>乡村振兴/经济增收</w:t>
            </w:r>
          </w:p>
        </w:tc>
        <w:tc>
          <w:tcPr>
            <w:tcW w:w="860" w:type="dxa"/>
            <w:vAlign w:val="center"/>
          </w:tcPr>
          <w:p>
            <w:pPr>
              <w:spacing w:before="0" w:after="0" w:line="240" w:lineRule="auto"/>
              <w:ind w:firstLine="0"/>
              <w:jc w:val="center"/>
            </w:pPr>
            <w:r>
              <w:rPr>
                <w:rFonts w:ascii="宋体" w:hAnsi="宋体" w:eastAsia="宋体"/>
                <w:b w:val="0"/>
                <w:sz w:val="21"/>
              </w:rPr>
              <w:t>抖音/视频号</w:t>
            </w:r>
          </w:p>
        </w:tc>
        <w:tc>
          <w:tcPr>
            <w:tcW w:w="2657" w:type="dxa"/>
            <w:vAlign w:val="center"/>
          </w:tcPr>
          <w:p>
            <w:pPr>
              <w:spacing w:before="0" w:after="0" w:line="240" w:lineRule="auto"/>
              <w:ind w:firstLine="0"/>
              <w:jc w:val="center"/>
            </w:pPr>
            <w:r>
              <w:rPr>
                <w:rFonts w:ascii="宋体" w:hAnsi="宋体" w:eastAsia="宋体"/>
                <w:b w:val="0"/>
                <w:sz w:val="21"/>
              </w:rPr>
              <w:t>一场村超比赛撬动1.52亿旅游收入，榕江做对了什么？</w:t>
            </w:r>
          </w:p>
        </w:tc>
        <w:tc>
          <w:tcPr>
            <w:tcW w:w="1207" w:type="dxa"/>
            <w:vAlign w:val="center"/>
          </w:tcPr>
          <w:p>
            <w:pPr>
              <w:spacing w:before="0" w:after="0" w:line="240" w:lineRule="auto"/>
              <w:ind w:firstLine="0"/>
              <w:jc w:val="center"/>
            </w:pPr>
            <w:r>
              <w:rPr>
                <w:rFonts w:ascii="宋体" w:hAnsi="宋体" w:eastAsia="宋体"/>
                <w:b w:val="0"/>
                <w:sz w:val="21"/>
              </w:rPr>
              <w:t>320万点赞，引发广泛讨论</w:t>
            </w:r>
          </w:p>
        </w:tc>
        <w:tc>
          <w:tcPr>
            <w:tcW w:w="1828" w:type="dxa"/>
            <w:vAlign w:val="center"/>
          </w:tcPr>
          <w:p>
            <w:pPr>
              <w:spacing w:before="0" w:after="0" w:line="240" w:lineRule="auto"/>
              <w:ind w:firstLine="0"/>
              <w:jc w:val="center"/>
            </w:pPr>
            <w:r>
              <w:rPr>
                <w:rFonts w:ascii="宋体" w:hAnsi="宋体" w:eastAsia="宋体"/>
                <w:b w:val="0"/>
                <w:sz w:val="21"/>
              </w:rPr>
              <w:t>数据说服力+模式可复制性+政策导向</w:t>
            </w:r>
          </w:p>
        </w:tc>
      </w:tr>
    </w:tbl>
    <w:p>
      <w:r>
        <w:rPr>
          <w:rFonts w:ascii="宋体" w:hAnsi="宋体" w:eastAsia="宋体"/>
          <w:b w:val="0"/>
          <w:sz w:val="24"/>
        </w:rPr>
        <w:t>从典型传播案例中可以提炼出贵州村超内容的三大爆款规律。其一，“赛事+文化”融合类内容具有天然的复合传播力——以赛事流量为入口，叠加民族文化的独特魅力（如侗族大歌响彻赛场），形成“1+1&gt;2”的传播效果，这种融合模式应成为AI推荐算法优先加权的内容方向。其二，“真实+共情”的人文故事类内容（如95岁侗家奶奶）虽然数量稀少，但一旦引爆便可达到现象级传播，属于“低供给、高爆发”的精品内容类型，应通过算法进行战略性的“爆款孵化”式推荐。其三，“美食+种草”类内容（如村超美食联赛）在小红书等平台具有持续稳定的长尾传播效应，通过图文打卡攻略实现从线上种草到线下消费的完整闭环，是推荐算法实现“内容→消费”转化率最优的方向。</w:t>
      </w:r>
    </w:p>
    <w:p>
      <w:pPr>
        <w:pStyle w:val="3"/>
      </w:pPr>
      <w:bookmarkStart w:id="28" w:name="_Toc16047"/>
      <w:r>
        <w:rPr>
          <w:rFonts w:ascii="宋体" w:hAnsi="宋体" w:eastAsia="宋体"/>
          <w:b/>
          <w:color w:val="000000"/>
        </w:rPr>
        <w:t>七、结论与AI推荐算法赋能建议</w:t>
      </w:r>
      <w:bookmarkEnd w:id="28"/>
    </w:p>
    <w:p>
      <w:pPr>
        <w:pStyle w:val="4"/>
      </w:pPr>
      <w:bookmarkStart w:id="29" w:name="_Toc7383"/>
      <w:r>
        <w:rPr>
          <w:rFonts w:ascii="宋体" w:hAnsi="宋体" w:eastAsia="宋体"/>
          <w:b/>
          <w:color w:val="000000"/>
        </w:rPr>
        <w:t>（一）研究结论</w:t>
      </w:r>
      <w:bookmarkEnd w:id="29"/>
    </w:p>
    <w:p>
      <w:r>
        <w:rPr>
          <w:rFonts w:ascii="宋体" w:hAnsi="宋体" w:eastAsia="宋体"/>
          <w:b w:val="0"/>
          <w:sz w:val="24"/>
        </w:rPr>
        <w:t>1. 平台流量结构：以足球赛事为单一核心的“头重脚轻”格局。平台流量数据显示，贵州村超社媒内容呈现高度集中的分布特征——足球赛事集锦类内容占比48.5%，民俗文化（25.7%）和赛事联动（19.8%）分列二三，三者合计占比94.0%。而文旅体验类内容（美食特产2.5%、人文故事3.5%、现场气氛14.9%）的合计占比仅约21%。抖音以130亿+话题播放成为流量主阵地，但三平台内容结构均偏向赛事驱动。</w:t>
      </w:r>
    </w:p>
    <w:p>
      <w:r>
        <w:rPr>
          <w:rFonts w:ascii="宋体" w:hAnsi="宋体" w:eastAsia="宋体"/>
          <w:b w:val="0"/>
          <w:sz w:val="24"/>
        </w:rPr>
        <w:t>2. 供需错位：文旅体验类内容存在系统性供给缺口。受众需求分析表明，公众关注焦点已从足球赛事（37.5%）向文旅体验方向迁移——本地民俗文化（62.5%）、美食特产（62.5%）和现场气氛（50.0%）的需求远超赛事集锦。IPA矩阵分析确认，美食特产/文创产品、现场气氛三个主题位于机会区（象限II），属于供不应求的核心内容方向。其中美食特产类内容的供需差高达+60.0%，是推荐算法最亟需介入的结构性错位。</w:t>
      </w:r>
    </w:p>
    <w:p>
      <w:r>
        <w:rPr>
          <w:rFonts w:ascii="宋体" w:hAnsi="宋体" w:eastAsia="宋体"/>
          <w:b w:val="0"/>
          <w:sz w:val="24"/>
        </w:rPr>
        <w:t>3. 村超IP的结构性转型：从“体育赛事”到“文旅综合体”。三表数据共同指向一个核心趋势——贵州村超正在完成从足球赛事IP向文旅综合体的价值跃迁。受众对文化体验、美食品鉴和氛围沉浸的需求已经超过了对纯粹赛事观赏的需求。AI推荐算法作为内容分发的中枢环节，应当主动顺应这一结构性转变，通过调整推荐权重来加速内容生态从“赛事中心化”向“文旅均衡化”的转型。</w:t>
      </w:r>
    </w:p>
    <w:p>
      <w:pPr>
        <w:pStyle w:val="4"/>
      </w:pPr>
      <w:bookmarkStart w:id="30" w:name="_Toc22518"/>
      <w:r>
        <w:rPr>
          <w:rFonts w:ascii="宋体" w:hAnsi="宋体" w:eastAsia="宋体"/>
          <w:b/>
          <w:color w:val="000000"/>
        </w:rPr>
        <w:t>（二）AI推荐算法赋能文旅空间重构策略</w:t>
      </w:r>
      <w:bookmarkEnd w:id="30"/>
    </w:p>
    <w:p>
      <w:pPr>
        <w:pStyle w:val="5"/>
        <w:ind w:firstLine="482" w:firstLineChars="200"/>
      </w:pPr>
      <w:bookmarkStart w:id="31" w:name="_Toc10122"/>
      <w:r>
        <w:rPr>
          <w:rFonts w:ascii="宋体" w:hAnsi="宋体" w:eastAsia="宋体"/>
          <w:b/>
          <w:color w:val="000000"/>
        </w:rPr>
        <w:t>1、内容生产策略：以需求定供给</w:t>
      </w:r>
      <w:bookmarkEnd w:id="31"/>
    </w:p>
    <w:p>
      <w:pPr>
        <w:pStyle w:val="6"/>
        <w:ind w:firstLine="482" w:firstLineChars="200"/>
      </w:pPr>
      <w:r>
        <w:rPr>
          <w:rFonts w:ascii="宋体" w:hAnsi="宋体" w:eastAsia="宋体"/>
          <w:b/>
          <w:color w:val="000000"/>
        </w:rPr>
        <w:t>（1）优先增补美食特产/文创内容（P0最高优先级）</w:t>
      </w:r>
    </w:p>
    <w:p>
      <w:r>
        <w:rPr>
          <w:rFonts w:ascii="宋体" w:hAnsi="宋体" w:eastAsia="宋体"/>
          <w:b w:val="0"/>
          <w:sz w:val="24"/>
        </w:rPr>
        <w:t>平台流量仅2.5%但受众需求高达62.5%，供需差+60.0%。AI算法应引导创作者加大美食特产类内容产出，重点方向：酸汤鱼、卷粉、糯米饭等贵州特色美食探店与制作视频；村超美食集市与美食联赛相关内容；侗族/苗族非遗文创产品展示。小红书应作为重点分发渠道（平台热度★★★★★）。内容供给端已有约14%的素材储备，关键是通过算法流量倾斜来激活存量素材。</w:t>
      </w:r>
    </w:p>
    <w:p>
      <w:pPr>
        <w:pStyle w:val="6"/>
        <w:ind w:firstLine="482" w:firstLineChars="200"/>
      </w:pPr>
      <w:r>
        <w:rPr>
          <w:rFonts w:ascii="宋体" w:hAnsi="宋体" w:eastAsia="宋体"/>
          <w:b/>
          <w:color w:val="000000"/>
        </w:rPr>
        <w:t>（2）重点加强现场气氛类内容（P1高优先级）</w:t>
      </w:r>
    </w:p>
    <w:p>
      <w:r>
        <w:rPr>
          <w:rFonts w:ascii="宋体" w:hAnsi="宋体" w:eastAsia="宋体"/>
          <w:b w:val="0"/>
          <w:sz w:val="24"/>
        </w:rPr>
        <w:t>平台流量14.9%，受众需求50.0%，供需差+35.1%。算法应加大现场气氛类内容的流量倾斜，重点方向：啦啦队表演与中场秀、球场氛围与烟花表演、村超“村味”特色的沉浸式Vlog。该类内容具有天然的短视频传播优势，适合抖音和视频号重点分发。</w:t>
      </w:r>
    </w:p>
    <w:p>
      <w:pPr>
        <w:pStyle w:val="6"/>
        <w:ind w:firstLine="482" w:firstLineChars="200"/>
      </w:pPr>
      <w:r>
        <w:rPr>
          <w:rFonts w:ascii="宋体" w:hAnsi="宋体" w:eastAsia="宋体"/>
          <w:b/>
          <w:color w:val="000000"/>
        </w:rPr>
        <w:t>（3）稳步扩大民俗文化类内容（P1高优先级）</w:t>
      </w:r>
    </w:p>
    <w:p>
      <w:r>
        <w:rPr>
          <w:rFonts w:ascii="宋体" w:hAnsi="宋体" w:eastAsia="宋体"/>
          <w:b w:val="0"/>
          <w:sz w:val="24"/>
        </w:rPr>
        <w:t>平台流量25.7%，受众需求62.5%，供需差+36.8%。民俗文化类内容已具备一定平台基础，但距离满足受众需求仍有较大差距。算法应引导创作者深入挖掘425场民族文化展演、710+非遗节目的素材库，将侗族大歌、苗族银饰等非遗元素与现代短视频形式融合。</w:t>
      </w:r>
    </w:p>
    <w:p>
      <w:pPr>
        <w:pStyle w:val="6"/>
        <w:ind w:firstLine="482" w:firstLineChars="200"/>
      </w:pPr>
      <w:r>
        <w:rPr>
          <w:rFonts w:ascii="宋体" w:hAnsi="宋体" w:eastAsia="宋体"/>
          <w:b/>
          <w:color w:val="000000"/>
        </w:rPr>
        <w:t>（4）优化足球赛事集锦类内容（P2维持优先级）</w:t>
      </w:r>
    </w:p>
    <w:p>
      <w:r>
        <w:rPr>
          <w:rFonts w:ascii="宋体" w:hAnsi="宋体" w:eastAsia="宋体"/>
          <w:b w:val="0"/>
          <w:sz w:val="24"/>
        </w:rPr>
        <w:t>平台流量48.5%已超过受众需求37.5%，供需差-11.0%。算法应适度降低纯赛事集锦的推荐比例，引导赛事内容向“赛事+文化”“赛事+美食”“赛事+人情”的融合方向升级，从“量的扩张”转向“质的提升”。</w:t>
      </w:r>
    </w:p>
    <w:p>
      <w:pPr>
        <w:pStyle w:val="6"/>
        <w:ind w:firstLine="482" w:firstLineChars="200"/>
      </w:pPr>
      <w:r>
        <w:rPr>
          <w:rFonts w:ascii="宋体" w:hAnsi="宋体" w:eastAsia="宋体"/>
          <w:b/>
          <w:color w:val="000000"/>
        </w:rPr>
        <w:t>（5）战略培育人文故事类内容（P2孵化优先级）</w:t>
      </w:r>
    </w:p>
    <w:p>
      <w:r>
        <w:rPr>
          <w:rFonts w:ascii="宋体" w:hAnsi="宋体" w:eastAsia="宋体"/>
          <w:b w:val="0"/>
          <w:sz w:val="24"/>
        </w:rPr>
        <w:t>“95岁侗家奶奶”单条5亿+播放证明人文故事具有“低关注、高爆发”的特殊属性。算法应将人文故事作为精品内容孵化方向，挖掘村民球员、返乡青年的真实故事，以“人文+文旅”组合形式进行节点性精准推荐，等待爆发时机。</w:t>
      </w:r>
    </w:p>
    <w:p>
      <w:pPr>
        <w:pStyle w:val="5"/>
        <w:ind w:firstLine="482" w:firstLineChars="200"/>
      </w:pPr>
      <w:bookmarkStart w:id="32" w:name="_Toc28903"/>
      <w:r>
        <w:rPr>
          <w:rFonts w:ascii="宋体" w:hAnsi="宋体" w:eastAsia="宋体"/>
          <w:b/>
          <w:color w:val="000000"/>
        </w:rPr>
        <w:t>2、算法分发策略：供需差值驱动权重调整</w:t>
      </w:r>
      <w:bookmarkEnd w:id="32"/>
    </w:p>
    <w:p>
      <w:r>
        <w:rPr>
          <w:rFonts w:ascii="宋体" w:hAnsi="宋体" w:eastAsia="宋体"/>
          <w:b w:val="0"/>
          <w:sz w:val="24"/>
        </w:rPr>
        <w:t>基于七主题的供需差值分析，提出以下AI推荐算法分发权重调整方案。核心原则：供不应求主题（供需差为正）提升推荐权重，供过于求主题（供需差为负）适度降权。</w:t>
      </w:r>
    </w:p>
    <w:p>
      <w:pPr>
        <w:spacing w:before="120" w:after="60" w:line="360" w:lineRule="auto"/>
        <w:ind w:firstLine="0"/>
        <w:jc w:val="center"/>
      </w:pPr>
      <w:r>
        <w:rPr>
          <w:rFonts w:ascii="宋体" w:hAnsi="宋体" w:eastAsia="宋体"/>
          <w:b/>
          <w:sz w:val="21"/>
        </w:rPr>
        <w:t>表8 贵州村超七主题 —— AI推荐算法权重调整方案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1280"/>
        <w:gridCol w:w="878"/>
        <w:gridCol w:w="878"/>
        <w:gridCol w:w="938"/>
        <w:gridCol w:w="1806"/>
        <w:gridCol w:w="2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AE3F3"/>
            <w:vAlign w:val="center"/>
          </w:tcPr>
          <w:p>
            <w:pPr>
              <w:spacing w:before="0" w:after="0" w:line="240" w:lineRule="auto"/>
              <w:ind w:firstLine="0"/>
              <w:jc w:val="center"/>
            </w:pPr>
            <w:r>
              <w:rPr>
                <w:rFonts w:ascii="宋体" w:hAnsi="宋体" w:eastAsia="宋体"/>
                <w:b/>
                <w:sz w:val="21"/>
              </w:rPr>
              <w:t>优先级</w:t>
            </w:r>
          </w:p>
        </w:tc>
        <w:tc>
          <w:tcPr>
            <w:tcW w:w="0" w:type="auto"/>
            <w:shd w:val="clear" w:color="auto" w:fill="DAE3F3"/>
            <w:vAlign w:val="center"/>
          </w:tcPr>
          <w:p>
            <w:pPr>
              <w:spacing w:before="0" w:after="0" w:line="240" w:lineRule="auto"/>
              <w:ind w:firstLine="0"/>
              <w:jc w:val="center"/>
            </w:pPr>
            <w:r>
              <w:rPr>
                <w:rFonts w:ascii="宋体" w:hAnsi="宋体" w:eastAsia="宋体"/>
                <w:b/>
                <w:sz w:val="21"/>
              </w:rPr>
              <w:t>内容主题</w:t>
            </w:r>
          </w:p>
        </w:tc>
        <w:tc>
          <w:tcPr>
            <w:tcW w:w="0" w:type="auto"/>
            <w:shd w:val="clear" w:color="auto" w:fill="DAE3F3"/>
            <w:vAlign w:val="center"/>
          </w:tcPr>
          <w:p>
            <w:pPr>
              <w:spacing w:before="0" w:after="0" w:line="240" w:lineRule="auto"/>
              <w:ind w:firstLine="0"/>
              <w:jc w:val="center"/>
            </w:pPr>
            <w:r>
              <w:rPr>
                <w:rFonts w:ascii="宋体" w:hAnsi="宋体" w:eastAsia="宋体"/>
                <w:b/>
                <w:sz w:val="21"/>
              </w:rPr>
              <w:t>平台流量</w:t>
            </w:r>
          </w:p>
        </w:tc>
        <w:tc>
          <w:tcPr>
            <w:tcW w:w="0" w:type="auto"/>
            <w:shd w:val="clear" w:color="auto" w:fill="DAE3F3"/>
            <w:vAlign w:val="center"/>
          </w:tcPr>
          <w:p>
            <w:pPr>
              <w:spacing w:before="0" w:after="0" w:line="240" w:lineRule="auto"/>
              <w:ind w:firstLine="0"/>
              <w:jc w:val="center"/>
            </w:pPr>
            <w:r>
              <w:rPr>
                <w:rFonts w:ascii="宋体" w:hAnsi="宋体" w:eastAsia="宋体"/>
                <w:b/>
                <w:sz w:val="21"/>
              </w:rPr>
              <w:t>受众需求</w:t>
            </w:r>
          </w:p>
        </w:tc>
        <w:tc>
          <w:tcPr>
            <w:tcW w:w="0" w:type="auto"/>
            <w:shd w:val="clear" w:color="auto" w:fill="DAE3F3"/>
            <w:vAlign w:val="center"/>
          </w:tcPr>
          <w:p>
            <w:pPr>
              <w:spacing w:before="0" w:after="0" w:line="240" w:lineRule="auto"/>
              <w:ind w:firstLine="0"/>
              <w:jc w:val="center"/>
            </w:pPr>
            <w:r>
              <w:rPr>
                <w:rFonts w:ascii="宋体" w:hAnsi="宋体" w:eastAsia="宋体"/>
                <w:b/>
                <w:sz w:val="21"/>
              </w:rPr>
              <w:t>供需差值</w:t>
            </w:r>
          </w:p>
        </w:tc>
        <w:tc>
          <w:tcPr>
            <w:tcW w:w="0" w:type="auto"/>
            <w:shd w:val="clear" w:color="auto" w:fill="DAE3F3"/>
            <w:vAlign w:val="center"/>
          </w:tcPr>
          <w:p>
            <w:pPr>
              <w:spacing w:before="0" w:after="0" w:line="240" w:lineRule="auto"/>
              <w:ind w:firstLine="0"/>
              <w:jc w:val="center"/>
            </w:pPr>
            <w:r>
              <w:rPr>
                <w:rFonts w:ascii="宋体" w:hAnsi="宋体" w:eastAsia="宋体"/>
                <w:b/>
                <w:sz w:val="21"/>
              </w:rPr>
              <w:t>推荐权重</w:t>
            </w:r>
          </w:p>
        </w:tc>
        <w:tc>
          <w:tcPr>
            <w:tcW w:w="0" w:type="auto"/>
            <w:shd w:val="clear" w:color="auto" w:fill="DAE3F3"/>
            <w:vAlign w:val="center"/>
          </w:tcPr>
          <w:p>
            <w:pPr>
              <w:spacing w:before="0" w:after="0" w:line="240" w:lineRule="auto"/>
              <w:ind w:firstLine="0"/>
              <w:jc w:val="center"/>
            </w:pPr>
            <w:r>
              <w:rPr>
                <w:rFonts w:ascii="宋体" w:hAnsi="宋体" w:eastAsia="宋体"/>
                <w:b/>
                <w:sz w:val="21"/>
              </w:rPr>
              <w:t>算法调整建议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before="0" w:after="0" w:line="240" w:lineRule="auto"/>
              <w:ind w:firstLine="0"/>
              <w:jc w:val="center"/>
            </w:pPr>
            <w:r>
              <w:rPr>
                <w:rFonts w:ascii="宋体" w:hAnsi="宋体" w:eastAsia="宋体"/>
                <w:b w:val="0"/>
                <w:sz w:val="21"/>
              </w:rPr>
              <w:t>P0</w:t>
            </w:r>
          </w:p>
        </w:tc>
        <w:tc>
          <w:tcPr>
            <w:tcW w:w="0" w:type="auto"/>
            <w:vAlign w:val="center"/>
          </w:tcPr>
          <w:p>
            <w:pPr>
              <w:spacing w:before="0" w:after="0" w:line="240" w:lineRule="auto"/>
              <w:ind w:firstLine="0"/>
              <w:jc w:val="center"/>
            </w:pPr>
            <w:r>
              <w:rPr>
                <w:rFonts w:ascii="宋体" w:hAnsi="宋体" w:eastAsia="宋体"/>
                <w:b w:val="0"/>
                <w:sz w:val="21"/>
              </w:rPr>
              <w:t>本地民俗文化展示</w:t>
            </w:r>
          </w:p>
        </w:tc>
        <w:tc>
          <w:tcPr>
            <w:tcW w:w="0" w:type="auto"/>
            <w:vAlign w:val="center"/>
          </w:tcPr>
          <w:p>
            <w:pPr>
              <w:spacing w:before="0" w:after="0" w:line="240" w:lineRule="auto"/>
              <w:ind w:firstLine="0"/>
              <w:jc w:val="center"/>
            </w:pPr>
            <w:r>
              <w:rPr>
                <w:rFonts w:ascii="宋体" w:hAnsi="宋体" w:eastAsia="宋体"/>
                <w:b w:val="0"/>
                <w:sz w:val="21"/>
              </w:rPr>
              <w:t>25.7%</w:t>
            </w:r>
          </w:p>
        </w:tc>
        <w:tc>
          <w:tcPr>
            <w:tcW w:w="0" w:type="auto"/>
            <w:vAlign w:val="center"/>
          </w:tcPr>
          <w:p>
            <w:pPr>
              <w:spacing w:before="0" w:after="0" w:line="240" w:lineRule="auto"/>
              <w:ind w:firstLine="0"/>
              <w:jc w:val="center"/>
            </w:pPr>
            <w:r>
              <w:rPr>
                <w:rFonts w:ascii="宋体" w:hAnsi="宋体" w:eastAsia="宋体"/>
                <w:b w:val="0"/>
                <w:sz w:val="21"/>
              </w:rPr>
              <w:t>62.5%</w:t>
            </w:r>
          </w:p>
        </w:tc>
        <w:tc>
          <w:tcPr>
            <w:tcW w:w="0" w:type="auto"/>
            <w:vAlign w:val="center"/>
          </w:tcPr>
          <w:p>
            <w:pPr>
              <w:spacing w:before="0" w:after="0" w:line="240" w:lineRule="auto"/>
              <w:ind w:firstLine="0"/>
              <w:jc w:val="center"/>
            </w:pPr>
            <w:r>
              <w:rPr>
                <w:rFonts w:ascii="宋体" w:hAnsi="宋体" w:eastAsia="宋体"/>
                <w:b w:val="0"/>
                <w:sz w:val="21"/>
              </w:rPr>
              <w:t>+36.8%</w:t>
            </w:r>
          </w:p>
        </w:tc>
        <w:tc>
          <w:tcPr>
            <w:tcW w:w="0" w:type="auto"/>
            <w:vAlign w:val="center"/>
          </w:tcPr>
          <w:p>
            <w:pPr>
              <w:spacing w:before="0" w:after="0" w:line="240" w:lineRule="auto"/>
              <w:ind w:firstLine="0"/>
              <w:jc w:val="center"/>
            </w:pPr>
            <w:r>
              <w:rPr>
                <w:rFonts w:ascii="宋体" w:hAnsi="宋体" w:eastAsia="宋体"/>
                <w:b w:val="0"/>
                <w:sz w:val="21"/>
              </w:rPr>
              <w:t>★★★★★（最高权重）</w:t>
            </w:r>
          </w:p>
        </w:tc>
        <w:tc>
          <w:tcPr>
            <w:tcW w:w="0" w:type="auto"/>
            <w:vAlign w:val="center"/>
          </w:tcPr>
          <w:p>
            <w:pPr>
              <w:spacing w:before="0" w:after="0" w:line="240" w:lineRule="auto"/>
              <w:ind w:firstLine="0"/>
              <w:jc w:val="center"/>
            </w:pPr>
            <w:r>
              <w:rPr>
                <w:rFonts w:ascii="宋体" w:hAnsi="宋体" w:eastAsia="宋体"/>
                <w:b w:val="0"/>
                <w:sz w:val="21"/>
              </w:rPr>
              <w:t>推荐流量提升3-5倍，开辟独立推荐流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before="0" w:after="0" w:line="240" w:lineRule="auto"/>
              <w:ind w:firstLine="0"/>
              <w:jc w:val="center"/>
            </w:pPr>
            <w:r>
              <w:rPr>
                <w:rFonts w:ascii="宋体" w:hAnsi="宋体" w:eastAsia="宋体"/>
                <w:b w:val="0"/>
                <w:sz w:val="21"/>
              </w:rPr>
              <w:t>P0</w:t>
            </w:r>
          </w:p>
        </w:tc>
        <w:tc>
          <w:tcPr>
            <w:tcW w:w="0" w:type="auto"/>
            <w:vAlign w:val="center"/>
          </w:tcPr>
          <w:p>
            <w:pPr>
              <w:spacing w:before="0" w:after="0" w:line="240" w:lineRule="auto"/>
              <w:ind w:firstLine="0"/>
              <w:jc w:val="center"/>
            </w:pPr>
            <w:r>
              <w:rPr>
                <w:rFonts w:ascii="宋体" w:hAnsi="宋体" w:eastAsia="宋体"/>
                <w:b w:val="0"/>
                <w:sz w:val="21"/>
              </w:rPr>
              <w:t>美食特产/文创产品</w:t>
            </w:r>
          </w:p>
        </w:tc>
        <w:tc>
          <w:tcPr>
            <w:tcW w:w="0" w:type="auto"/>
            <w:vAlign w:val="center"/>
          </w:tcPr>
          <w:p>
            <w:pPr>
              <w:spacing w:before="0" w:after="0" w:line="240" w:lineRule="auto"/>
              <w:ind w:firstLine="0"/>
              <w:jc w:val="center"/>
            </w:pPr>
            <w:r>
              <w:rPr>
                <w:rFonts w:ascii="宋体" w:hAnsi="宋体" w:eastAsia="宋体"/>
                <w:b w:val="0"/>
                <w:sz w:val="21"/>
              </w:rPr>
              <w:t>2.5%</w:t>
            </w:r>
          </w:p>
        </w:tc>
        <w:tc>
          <w:tcPr>
            <w:tcW w:w="0" w:type="auto"/>
            <w:vAlign w:val="center"/>
          </w:tcPr>
          <w:p>
            <w:pPr>
              <w:spacing w:before="0" w:after="0" w:line="240" w:lineRule="auto"/>
              <w:ind w:firstLine="0"/>
              <w:jc w:val="center"/>
            </w:pPr>
            <w:r>
              <w:rPr>
                <w:rFonts w:ascii="宋体" w:hAnsi="宋体" w:eastAsia="宋体"/>
                <w:b w:val="0"/>
                <w:sz w:val="21"/>
              </w:rPr>
              <w:t>62.5%</w:t>
            </w:r>
          </w:p>
        </w:tc>
        <w:tc>
          <w:tcPr>
            <w:tcW w:w="0" w:type="auto"/>
            <w:vAlign w:val="center"/>
          </w:tcPr>
          <w:p>
            <w:pPr>
              <w:spacing w:before="0" w:after="0" w:line="240" w:lineRule="auto"/>
              <w:ind w:firstLine="0"/>
              <w:jc w:val="center"/>
            </w:pPr>
            <w:r>
              <w:rPr>
                <w:rFonts w:ascii="宋体" w:hAnsi="宋体" w:eastAsia="宋体"/>
                <w:b w:val="0"/>
                <w:sz w:val="21"/>
              </w:rPr>
              <w:t>+60.0%</w:t>
            </w:r>
          </w:p>
        </w:tc>
        <w:tc>
          <w:tcPr>
            <w:tcW w:w="0" w:type="auto"/>
            <w:vAlign w:val="center"/>
          </w:tcPr>
          <w:p>
            <w:pPr>
              <w:spacing w:before="0" w:after="0" w:line="240" w:lineRule="auto"/>
              <w:ind w:firstLine="0"/>
              <w:jc w:val="center"/>
            </w:pPr>
            <w:r>
              <w:rPr>
                <w:rFonts w:ascii="宋体" w:hAnsi="宋体" w:eastAsia="宋体"/>
                <w:b w:val="0"/>
                <w:sz w:val="21"/>
              </w:rPr>
              <w:t>★★★★★（最高权重）</w:t>
            </w:r>
          </w:p>
        </w:tc>
        <w:tc>
          <w:tcPr>
            <w:tcW w:w="0" w:type="auto"/>
            <w:vAlign w:val="center"/>
          </w:tcPr>
          <w:p>
            <w:pPr>
              <w:spacing w:before="0" w:after="0" w:line="240" w:lineRule="auto"/>
              <w:ind w:firstLine="0"/>
              <w:jc w:val="center"/>
            </w:pPr>
            <w:r>
              <w:rPr>
                <w:rFonts w:ascii="宋体" w:hAnsi="宋体" w:eastAsia="宋体"/>
                <w:b w:val="0"/>
                <w:sz w:val="21"/>
              </w:rPr>
              <w:t>推荐流量提升3-5倍，开辟独立推荐流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before="0" w:after="0" w:line="240" w:lineRule="auto"/>
              <w:ind w:firstLine="0"/>
              <w:jc w:val="center"/>
            </w:pPr>
            <w:r>
              <w:rPr>
                <w:rFonts w:ascii="宋体" w:hAnsi="宋体" w:eastAsia="宋体"/>
                <w:b w:val="0"/>
                <w:sz w:val="21"/>
              </w:rPr>
              <w:t>P0</w:t>
            </w:r>
          </w:p>
        </w:tc>
        <w:tc>
          <w:tcPr>
            <w:tcW w:w="0" w:type="auto"/>
            <w:vAlign w:val="center"/>
          </w:tcPr>
          <w:p>
            <w:pPr>
              <w:spacing w:before="0" w:after="0" w:line="240" w:lineRule="auto"/>
              <w:ind w:firstLine="0"/>
              <w:jc w:val="center"/>
            </w:pPr>
            <w:r>
              <w:rPr>
                <w:rFonts w:ascii="宋体" w:hAnsi="宋体" w:eastAsia="宋体"/>
                <w:b w:val="0"/>
                <w:sz w:val="21"/>
              </w:rPr>
              <w:t>现场气氛</w:t>
            </w:r>
          </w:p>
        </w:tc>
        <w:tc>
          <w:tcPr>
            <w:tcW w:w="0" w:type="auto"/>
            <w:vAlign w:val="center"/>
          </w:tcPr>
          <w:p>
            <w:pPr>
              <w:spacing w:before="0" w:after="0" w:line="240" w:lineRule="auto"/>
              <w:ind w:firstLine="0"/>
              <w:jc w:val="center"/>
            </w:pPr>
            <w:r>
              <w:rPr>
                <w:rFonts w:ascii="宋体" w:hAnsi="宋体" w:eastAsia="宋体"/>
                <w:b w:val="0"/>
                <w:sz w:val="21"/>
              </w:rPr>
              <w:t>14.9%</w:t>
            </w:r>
          </w:p>
        </w:tc>
        <w:tc>
          <w:tcPr>
            <w:tcW w:w="0" w:type="auto"/>
            <w:vAlign w:val="center"/>
          </w:tcPr>
          <w:p>
            <w:pPr>
              <w:spacing w:before="0" w:after="0" w:line="240" w:lineRule="auto"/>
              <w:ind w:firstLine="0"/>
              <w:jc w:val="center"/>
            </w:pPr>
            <w:r>
              <w:rPr>
                <w:rFonts w:ascii="宋体" w:hAnsi="宋体" w:eastAsia="宋体"/>
                <w:b w:val="0"/>
                <w:sz w:val="21"/>
              </w:rPr>
              <w:t>50.0%</w:t>
            </w:r>
          </w:p>
        </w:tc>
        <w:tc>
          <w:tcPr>
            <w:tcW w:w="0" w:type="auto"/>
            <w:vAlign w:val="center"/>
          </w:tcPr>
          <w:p>
            <w:pPr>
              <w:spacing w:before="0" w:after="0" w:line="240" w:lineRule="auto"/>
              <w:ind w:firstLine="0"/>
              <w:jc w:val="center"/>
            </w:pPr>
            <w:r>
              <w:rPr>
                <w:rFonts w:ascii="宋体" w:hAnsi="宋体" w:eastAsia="宋体"/>
                <w:b w:val="0"/>
                <w:sz w:val="21"/>
              </w:rPr>
              <w:t>+35.1%</w:t>
            </w:r>
          </w:p>
        </w:tc>
        <w:tc>
          <w:tcPr>
            <w:tcW w:w="0" w:type="auto"/>
            <w:vAlign w:val="center"/>
          </w:tcPr>
          <w:p>
            <w:pPr>
              <w:spacing w:before="0" w:after="0" w:line="240" w:lineRule="auto"/>
              <w:ind w:firstLine="0"/>
              <w:jc w:val="center"/>
            </w:pPr>
            <w:r>
              <w:rPr>
                <w:rFonts w:ascii="宋体" w:hAnsi="宋体" w:eastAsia="宋体"/>
                <w:b w:val="0"/>
                <w:sz w:val="21"/>
              </w:rPr>
              <w:t>★★★★★（最高权重）</w:t>
            </w:r>
          </w:p>
        </w:tc>
        <w:tc>
          <w:tcPr>
            <w:tcW w:w="0" w:type="auto"/>
            <w:vAlign w:val="center"/>
          </w:tcPr>
          <w:p>
            <w:pPr>
              <w:spacing w:before="0" w:after="0" w:line="240" w:lineRule="auto"/>
              <w:ind w:firstLine="0"/>
              <w:jc w:val="center"/>
            </w:pPr>
            <w:r>
              <w:rPr>
                <w:rFonts w:ascii="宋体" w:hAnsi="宋体" w:eastAsia="宋体"/>
                <w:b w:val="0"/>
                <w:sz w:val="21"/>
              </w:rPr>
              <w:t>推荐流量提升3-5倍，开辟独立推荐流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before="0" w:after="0" w:line="240" w:lineRule="auto"/>
              <w:ind w:firstLine="0"/>
              <w:jc w:val="center"/>
            </w:pPr>
            <w:r>
              <w:rPr>
                <w:rFonts w:ascii="宋体" w:hAnsi="宋体" w:eastAsia="宋体"/>
                <w:b w:val="0"/>
                <w:sz w:val="21"/>
              </w:rPr>
              <w:t>P3</w:t>
            </w:r>
          </w:p>
        </w:tc>
        <w:tc>
          <w:tcPr>
            <w:tcW w:w="0" w:type="auto"/>
            <w:vAlign w:val="center"/>
          </w:tcPr>
          <w:p>
            <w:pPr>
              <w:spacing w:before="0" w:after="0" w:line="240" w:lineRule="auto"/>
              <w:ind w:firstLine="0"/>
              <w:jc w:val="center"/>
            </w:pPr>
            <w:r>
              <w:rPr>
                <w:rFonts w:ascii="宋体" w:hAnsi="宋体" w:eastAsia="宋体"/>
                <w:b w:val="0"/>
                <w:sz w:val="21"/>
              </w:rPr>
              <w:t>足球赛事集锦/精彩进球</w:t>
            </w:r>
          </w:p>
        </w:tc>
        <w:tc>
          <w:tcPr>
            <w:tcW w:w="0" w:type="auto"/>
            <w:vAlign w:val="center"/>
          </w:tcPr>
          <w:p>
            <w:pPr>
              <w:spacing w:before="0" w:after="0" w:line="240" w:lineRule="auto"/>
              <w:ind w:firstLine="0"/>
              <w:jc w:val="center"/>
            </w:pPr>
            <w:r>
              <w:rPr>
                <w:rFonts w:ascii="宋体" w:hAnsi="宋体" w:eastAsia="宋体"/>
                <w:b w:val="0"/>
                <w:sz w:val="21"/>
              </w:rPr>
              <w:t>48.5%</w:t>
            </w:r>
          </w:p>
        </w:tc>
        <w:tc>
          <w:tcPr>
            <w:tcW w:w="0" w:type="auto"/>
            <w:vAlign w:val="center"/>
          </w:tcPr>
          <w:p>
            <w:pPr>
              <w:spacing w:before="0" w:after="0" w:line="240" w:lineRule="auto"/>
              <w:ind w:firstLine="0"/>
              <w:jc w:val="center"/>
            </w:pPr>
            <w:r>
              <w:rPr>
                <w:rFonts w:ascii="宋体" w:hAnsi="宋体" w:eastAsia="宋体"/>
                <w:b w:val="0"/>
                <w:sz w:val="21"/>
              </w:rPr>
              <w:t>37.5%</w:t>
            </w:r>
          </w:p>
        </w:tc>
        <w:tc>
          <w:tcPr>
            <w:tcW w:w="0" w:type="auto"/>
            <w:vAlign w:val="center"/>
          </w:tcPr>
          <w:p>
            <w:pPr>
              <w:spacing w:before="0" w:after="0" w:line="240" w:lineRule="auto"/>
              <w:ind w:firstLine="0"/>
              <w:jc w:val="center"/>
            </w:pPr>
            <w:r>
              <w:rPr>
                <w:rFonts w:ascii="宋体" w:hAnsi="宋体" w:eastAsia="宋体"/>
                <w:b w:val="0"/>
                <w:sz w:val="21"/>
              </w:rPr>
              <w:t>-11.0%</w:t>
            </w:r>
          </w:p>
        </w:tc>
        <w:tc>
          <w:tcPr>
            <w:tcW w:w="0" w:type="auto"/>
            <w:vAlign w:val="center"/>
          </w:tcPr>
          <w:p>
            <w:pPr>
              <w:spacing w:before="0" w:after="0" w:line="240" w:lineRule="auto"/>
              <w:ind w:firstLine="0"/>
              <w:jc w:val="center"/>
            </w:pPr>
            <w:r>
              <w:rPr>
                <w:rFonts w:ascii="宋体" w:hAnsi="宋体" w:eastAsia="宋体"/>
                <w:b w:val="0"/>
                <w:sz w:val="21"/>
              </w:rPr>
              <w:t>★（适度降权）</w:t>
            </w:r>
          </w:p>
        </w:tc>
        <w:tc>
          <w:tcPr>
            <w:tcW w:w="0" w:type="auto"/>
            <w:vAlign w:val="center"/>
          </w:tcPr>
          <w:p>
            <w:pPr>
              <w:spacing w:before="0" w:after="0" w:line="240" w:lineRule="auto"/>
              <w:ind w:firstLine="0"/>
              <w:jc w:val="center"/>
            </w:pPr>
            <w:r>
              <w:rPr>
                <w:rFonts w:ascii="宋体" w:hAnsi="宋体" w:eastAsia="宋体"/>
                <w:b w:val="0"/>
                <w:sz w:val="21"/>
              </w:rPr>
              <w:t>流量降低20-30%，仅推荐高互动率内容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before="0" w:after="0" w:line="240" w:lineRule="auto"/>
              <w:ind w:firstLine="0"/>
              <w:jc w:val="center"/>
            </w:pPr>
            <w:r>
              <w:rPr>
                <w:rFonts w:ascii="宋体" w:hAnsi="宋体" w:eastAsia="宋体"/>
                <w:b w:val="0"/>
                <w:sz w:val="21"/>
              </w:rPr>
              <w:t>P2</w:t>
            </w:r>
          </w:p>
        </w:tc>
        <w:tc>
          <w:tcPr>
            <w:tcW w:w="0" w:type="auto"/>
            <w:vAlign w:val="center"/>
          </w:tcPr>
          <w:p>
            <w:pPr>
              <w:spacing w:before="0" w:after="0" w:line="240" w:lineRule="auto"/>
              <w:ind w:firstLine="0"/>
              <w:jc w:val="center"/>
            </w:pPr>
            <w:r>
              <w:rPr>
                <w:rFonts w:ascii="宋体" w:hAnsi="宋体" w:eastAsia="宋体"/>
                <w:b w:val="0"/>
                <w:sz w:val="21"/>
              </w:rPr>
              <w:t>贵州村超联动</w:t>
            </w:r>
          </w:p>
        </w:tc>
        <w:tc>
          <w:tcPr>
            <w:tcW w:w="0" w:type="auto"/>
            <w:vAlign w:val="center"/>
          </w:tcPr>
          <w:p>
            <w:pPr>
              <w:spacing w:before="0" w:after="0" w:line="240" w:lineRule="auto"/>
              <w:ind w:firstLine="0"/>
              <w:jc w:val="center"/>
            </w:pPr>
            <w:r>
              <w:rPr>
                <w:rFonts w:ascii="宋体" w:hAnsi="宋体" w:eastAsia="宋体"/>
                <w:b w:val="0"/>
                <w:sz w:val="21"/>
              </w:rPr>
              <w:t>19.8%</w:t>
            </w:r>
          </w:p>
        </w:tc>
        <w:tc>
          <w:tcPr>
            <w:tcW w:w="0" w:type="auto"/>
            <w:vAlign w:val="center"/>
          </w:tcPr>
          <w:p>
            <w:pPr>
              <w:spacing w:before="0" w:after="0" w:line="240" w:lineRule="auto"/>
              <w:ind w:firstLine="0"/>
              <w:jc w:val="center"/>
            </w:pPr>
            <w:r>
              <w:rPr>
                <w:rFonts w:ascii="宋体" w:hAnsi="宋体" w:eastAsia="宋体"/>
                <w:b w:val="0"/>
                <w:sz w:val="21"/>
              </w:rPr>
              <w:t>25.0%</w:t>
            </w:r>
          </w:p>
        </w:tc>
        <w:tc>
          <w:tcPr>
            <w:tcW w:w="0" w:type="auto"/>
            <w:vAlign w:val="center"/>
          </w:tcPr>
          <w:p>
            <w:pPr>
              <w:spacing w:before="0" w:after="0" w:line="240" w:lineRule="auto"/>
              <w:ind w:firstLine="0"/>
              <w:jc w:val="center"/>
            </w:pPr>
            <w:r>
              <w:rPr>
                <w:rFonts w:ascii="宋体" w:hAnsi="宋体" w:eastAsia="宋体"/>
                <w:b w:val="0"/>
                <w:sz w:val="21"/>
              </w:rPr>
              <w:t>+5.2%</w:t>
            </w:r>
          </w:p>
        </w:tc>
        <w:tc>
          <w:tcPr>
            <w:tcW w:w="0" w:type="auto"/>
            <w:vAlign w:val="center"/>
          </w:tcPr>
          <w:p>
            <w:pPr>
              <w:spacing w:before="0" w:after="0" w:line="240" w:lineRule="auto"/>
              <w:ind w:firstLine="0"/>
              <w:jc w:val="center"/>
            </w:pPr>
            <w:r>
              <w:rPr>
                <w:rFonts w:ascii="宋体" w:hAnsi="宋体" w:eastAsia="宋体"/>
                <w:b w:val="0"/>
                <w:sz w:val="21"/>
              </w:rPr>
              <w:t>★★★（中等权重）</w:t>
            </w:r>
          </w:p>
        </w:tc>
        <w:tc>
          <w:tcPr>
            <w:tcW w:w="0" w:type="auto"/>
            <w:vAlign w:val="center"/>
          </w:tcPr>
          <w:p>
            <w:pPr>
              <w:spacing w:before="0" w:after="0" w:line="240" w:lineRule="auto"/>
              <w:ind w:firstLine="0"/>
              <w:jc w:val="center"/>
            </w:pPr>
            <w:r>
              <w:rPr>
                <w:rFonts w:ascii="宋体" w:hAnsi="宋体" w:eastAsia="宋体"/>
                <w:b w:val="0"/>
                <w:sz w:val="21"/>
              </w:rPr>
              <w:t>推荐流量提升1.2-1.5倍，时段加权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before="0" w:after="0" w:line="240" w:lineRule="auto"/>
              <w:ind w:firstLine="0"/>
              <w:jc w:val="center"/>
            </w:pPr>
            <w:r>
              <w:rPr>
                <w:rFonts w:ascii="宋体" w:hAnsi="宋体" w:eastAsia="宋体"/>
                <w:b w:val="0"/>
                <w:sz w:val="21"/>
              </w:rPr>
              <w:t>P1</w:t>
            </w:r>
          </w:p>
        </w:tc>
        <w:tc>
          <w:tcPr>
            <w:tcW w:w="0" w:type="auto"/>
            <w:vAlign w:val="center"/>
          </w:tcPr>
          <w:p>
            <w:pPr>
              <w:spacing w:before="0" w:after="0" w:line="240" w:lineRule="auto"/>
              <w:ind w:firstLine="0"/>
              <w:jc w:val="center"/>
            </w:pPr>
            <w:r>
              <w:rPr>
                <w:rFonts w:ascii="宋体" w:hAnsi="宋体" w:eastAsia="宋体"/>
                <w:b w:val="0"/>
                <w:sz w:val="21"/>
              </w:rPr>
              <w:t>乡村振兴/经济增收</w:t>
            </w:r>
          </w:p>
        </w:tc>
        <w:tc>
          <w:tcPr>
            <w:tcW w:w="0" w:type="auto"/>
            <w:vAlign w:val="center"/>
          </w:tcPr>
          <w:p>
            <w:pPr>
              <w:spacing w:before="0" w:after="0" w:line="240" w:lineRule="auto"/>
              <w:ind w:firstLine="0"/>
              <w:jc w:val="center"/>
            </w:pPr>
            <w:r>
              <w:rPr>
                <w:rFonts w:ascii="宋体" w:hAnsi="宋体" w:eastAsia="宋体"/>
                <w:b w:val="0"/>
                <w:sz w:val="21"/>
              </w:rPr>
              <w:t>4.5%</w:t>
            </w:r>
          </w:p>
        </w:tc>
        <w:tc>
          <w:tcPr>
            <w:tcW w:w="0" w:type="auto"/>
            <w:vAlign w:val="center"/>
          </w:tcPr>
          <w:p>
            <w:pPr>
              <w:spacing w:before="0" w:after="0" w:line="240" w:lineRule="auto"/>
              <w:ind w:firstLine="0"/>
              <w:jc w:val="center"/>
            </w:pPr>
            <w:r>
              <w:rPr>
                <w:rFonts w:ascii="宋体" w:hAnsi="宋体" w:eastAsia="宋体"/>
                <w:b w:val="0"/>
                <w:sz w:val="21"/>
              </w:rPr>
              <w:t>25.0%</w:t>
            </w:r>
          </w:p>
        </w:tc>
        <w:tc>
          <w:tcPr>
            <w:tcW w:w="0" w:type="auto"/>
            <w:vAlign w:val="center"/>
          </w:tcPr>
          <w:p>
            <w:pPr>
              <w:spacing w:before="0" w:after="0" w:line="240" w:lineRule="auto"/>
              <w:ind w:firstLine="0"/>
              <w:jc w:val="center"/>
            </w:pPr>
            <w:r>
              <w:rPr>
                <w:rFonts w:ascii="宋体" w:hAnsi="宋体" w:eastAsia="宋体"/>
                <w:b w:val="0"/>
                <w:sz w:val="21"/>
              </w:rPr>
              <w:t>+20.5%</w:t>
            </w:r>
          </w:p>
        </w:tc>
        <w:tc>
          <w:tcPr>
            <w:tcW w:w="0" w:type="auto"/>
            <w:vAlign w:val="center"/>
          </w:tcPr>
          <w:p>
            <w:pPr>
              <w:spacing w:before="0" w:after="0" w:line="240" w:lineRule="auto"/>
              <w:ind w:firstLine="0"/>
              <w:jc w:val="center"/>
            </w:pPr>
            <w:r>
              <w:rPr>
                <w:rFonts w:ascii="宋体" w:hAnsi="宋体" w:eastAsia="宋体"/>
                <w:b w:val="0"/>
                <w:sz w:val="21"/>
              </w:rPr>
              <w:t>★★★★（高权重）</w:t>
            </w:r>
          </w:p>
        </w:tc>
        <w:tc>
          <w:tcPr>
            <w:tcW w:w="0" w:type="auto"/>
            <w:vAlign w:val="center"/>
          </w:tcPr>
          <w:p>
            <w:pPr>
              <w:spacing w:before="0" w:after="0" w:line="240" w:lineRule="auto"/>
              <w:ind w:firstLine="0"/>
              <w:jc w:val="center"/>
            </w:pPr>
            <w:r>
              <w:rPr>
                <w:rFonts w:ascii="宋体" w:hAnsi="宋体" w:eastAsia="宋体"/>
                <w:b w:val="0"/>
                <w:sz w:val="21"/>
              </w:rPr>
              <w:t>推荐流量提升1.5-2倍，优先信息流展示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before="0" w:after="0" w:line="240" w:lineRule="auto"/>
              <w:ind w:firstLine="0"/>
              <w:jc w:val="center"/>
            </w:pPr>
            <w:r>
              <w:rPr>
                <w:rFonts w:ascii="宋体" w:hAnsi="宋体" w:eastAsia="宋体"/>
                <w:b w:val="0"/>
                <w:sz w:val="21"/>
              </w:rPr>
              <w:t>P2</w:t>
            </w:r>
          </w:p>
        </w:tc>
        <w:tc>
          <w:tcPr>
            <w:tcW w:w="0" w:type="auto"/>
            <w:vAlign w:val="center"/>
          </w:tcPr>
          <w:p>
            <w:pPr>
              <w:spacing w:before="0" w:after="0" w:line="240" w:lineRule="auto"/>
              <w:ind w:firstLine="0"/>
              <w:jc w:val="center"/>
            </w:pPr>
            <w:r>
              <w:rPr>
                <w:rFonts w:ascii="宋体" w:hAnsi="宋体" w:eastAsia="宋体"/>
                <w:b w:val="0"/>
                <w:sz w:val="21"/>
              </w:rPr>
              <w:t>人文故事</w:t>
            </w:r>
          </w:p>
        </w:tc>
        <w:tc>
          <w:tcPr>
            <w:tcW w:w="0" w:type="auto"/>
            <w:vAlign w:val="center"/>
          </w:tcPr>
          <w:p>
            <w:pPr>
              <w:spacing w:before="0" w:after="0" w:line="240" w:lineRule="auto"/>
              <w:ind w:firstLine="0"/>
              <w:jc w:val="center"/>
            </w:pPr>
            <w:r>
              <w:rPr>
                <w:rFonts w:ascii="宋体" w:hAnsi="宋体" w:eastAsia="宋体"/>
                <w:b w:val="0"/>
                <w:sz w:val="21"/>
              </w:rPr>
              <w:t>3.5%</w:t>
            </w:r>
          </w:p>
        </w:tc>
        <w:tc>
          <w:tcPr>
            <w:tcW w:w="0" w:type="auto"/>
            <w:vAlign w:val="center"/>
          </w:tcPr>
          <w:p>
            <w:pPr>
              <w:spacing w:before="0" w:after="0" w:line="240" w:lineRule="auto"/>
              <w:ind w:firstLine="0"/>
              <w:jc w:val="center"/>
            </w:pPr>
            <w:r>
              <w:rPr>
                <w:rFonts w:ascii="宋体" w:hAnsi="宋体" w:eastAsia="宋体"/>
                <w:b w:val="0"/>
                <w:sz w:val="21"/>
              </w:rPr>
              <w:t>12.5%</w:t>
            </w:r>
          </w:p>
        </w:tc>
        <w:tc>
          <w:tcPr>
            <w:tcW w:w="0" w:type="auto"/>
            <w:vAlign w:val="center"/>
          </w:tcPr>
          <w:p>
            <w:pPr>
              <w:spacing w:before="0" w:after="0" w:line="240" w:lineRule="auto"/>
              <w:ind w:firstLine="0"/>
              <w:jc w:val="center"/>
            </w:pPr>
            <w:r>
              <w:rPr>
                <w:rFonts w:ascii="宋体" w:hAnsi="宋体" w:eastAsia="宋体"/>
                <w:b w:val="0"/>
                <w:sz w:val="21"/>
              </w:rPr>
              <w:t>+9.0%</w:t>
            </w:r>
          </w:p>
        </w:tc>
        <w:tc>
          <w:tcPr>
            <w:tcW w:w="0" w:type="auto"/>
            <w:vAlign w:val="center"/>
          </w:tcPr>
          <w:p>
            <w:pPr>
              <w:spacing w:before="0" w:after="0" w:line="240" w:lineRule="auto"/>
              <w:ind w:firstLine="0"/>
              <w:jc w:val="center"/>
            </w:pPr>
            <w:r>
              <w:rPr>
                <w:rFonts w:ascii="宋体" w:hAnsi="宋体" w:eastAsia="宋体"/>
                <w:b w:val="0"/>
                <w:sz w:val="21"/>
              </w:rPr>
              <w:t>★★★（中等权重）</w:t>
            </w:r>
          </w:p>
        </w:tc>
        <w:tc>
          <w:tcPr>
            <w:tcW w:w="0" w:type="auto"/>
            <w:vAlign w:val="center"/>
          </w:tcPr>
          <w:p>
            <w:pPr>
              <w:spacing w:before="0" w:after="0" w:line="240" w:lineRule="auto"/>
              <w:ind w:firstLine="0"/>
              <w:jc w:val="center"/>
            </w:pPr>
            <w:r>
              <w:rPr>
                <w:rFonts w:ascii="宋体" w:hAnsi="宋体" w:eastAsia="宋体"/>
                <w:b w:val="0"/>
                <w:sz w:val="21"/>
              </w:rPr>
              <w:t>推荐流量提升1.2-1.5倍，时段加权</w:t>
            </w:r>
          </w:p>
        </w:tc>
      </w:tr>
    </w:tbl>
    <w:p>
      <w:pPr>
        <w:pStyle w:val="5"/>
        <w:ind w:firstLine="482" w:firstLineChars="200"/>
      </w:pPr>
      <w:bookmarkStart w:id="33" w:name="_Toc31665"/>
      <w:r>
        <w:rPr>
          <w:rFonts w:ascii="宋体" w:hAnsi="宋体" w:eastAsia="宋体"/>
          <w:b/>
          <w:color w:val="000000"/>
        </w:rPr>
        <w:t>3、用户运营策略：三维兴趣模型与文旅空间匹配</w:t>
      </w:r>
      <w:bookmarkEnd w:id="33"/>
    </w:p>
    <w:p>
      <w:r>
        <w:rPr>
          <w:rFonts w:ascii="宋体" w:hAnsi="宋体" w:eastAsia="宋体"/>
          <w:b w:val="0"/>
          <w:sz w:val="24"/>
        </w:rPr>
        <w:t>基于受众需求分析，构建“文化体验—美食消费—氛围沉浸”三维用户兴趣模型，将AI推荐算法与贵州村超的实际文旅空间进行精准匹配，实现从线上内容推荐到线下空间导流的完整闭环。</w:t>
      </w:r>
    </w:p>
    <w:p>
      <w:pPr>
        <w:pStyle w:val="6"/>
        <w:ind w:firstLine="482" w:firstLineChars="200"/>
      </w:pPr>
      <w:r>
        <w:rPr>
          <w:rFonts w:ascii="宋体" w:hAnsi="宋体" w:eastAsia="宋体"/>
          <w:b/>
          <w:color w:val="000000"/>
        </w:rPr>
        <w:t>（1）文化体验型用户（高关注民俗文化、人文故事）</w:t>
      </w:r>
    </w:p>
    <w:p>
      <w:r>
        <w:rPr>
          <w:rFonts w:ascii="宋体" w:hAnsi="宋体" w:eastAsia="宋体"/>
          <w:b w:val="0"/>
          <w:sz w:val="24"/>
        </w:rPr>
        <w:t>算法推荐策略：优先推送非遗文化展示、侗族大歌表演、苗族银饰工艺、民族服饰巡游等内容。文旅空间匹配：引导至村超赛场的民族文化展演区、非遗体验工坊、侗寨/苗寨实景游览。</w:t>
      </w:r>
    </w:p>
    <w:p>
      <w:pPr>
        <w:pStyle w:val="6"/>
        <w:ind w:firstLine="482" w:firstLineChars="200"/>
      </w:pPr>
      <w:r>
        <w:rPr>
          <w:rFonts w:ascii="宋体" w:hAnsi="宋体" w:eastAsia="宋体"/>
          <w:b/>
          <w:color w:val="000000"/>
        </w:rPr>
        <w:t>（2）美食消费型用户（高关注美食特产、文创产品）</w:t>
      </w:r>
    </w:p>
    <w:p>
      <w:r>
        <w:rPr>
          <w:rFonts w:ascii="宋体" w:hAnsi="宋体" w:eastAsia="宋体"/>
          <w:b w:val="0"/>
          <w:sz w:val="24"/>
        </w:rPr>
        <w:t>算法推荐策略：优先推送贵州特色美食探店、酸汤鱼/卷粉/糯米饭制作、村超美食联赛、民族手作文创等内容。文旅空间匹配：引导至村超美食集市、地方特产展销区、周边农家乐与特色餐饮。</w:t>
      </w:r>
    </w:p>
    <w:p>
      <w:pPr>
        <w:pStyle w:val="6"/>
        <w:ind w:firstLine="482" w:firstLineChars="200"/>
      </w:pPr>
      <w:r>
        <w:rPr>
          <w:rFonts w:ascii="宋体" w:hAnsi="宋体" w:eastAsia="宋体"/>
          <w:b/>
          <w:color w:val="000000"/>
        </w:rPr>
        <w:t>（3）氛围沉浸型用户（高关注现场气氛、赛事互动）</w:t>
      </w:r>
    </w:p>
    <w:p>
      <w:r>
        <w:rPr>
          <w:rFonts w:ascii="宋体" w:hAnsi="宋体" w:eastAsia="宋体"/>
          <w:b w:val="0"/>
          <w:sz w:val="24"/>
        </w:rPr>
        <w:t>算法推荐策略：优先推送村超现场Vlog、啦啦队表演、观众互动花絮、中场表演/烟花秀等沉浸式内容。文旅空间匹配：引导至比赛现场观众席、球迷互动区、打卡拍照点。</w:t>
      </w:r>
    </w:p>
    <w:p>
      <w:pPr>
        <w:bidi w:val="0"/>
      </w:pPr>
      <w:r>
        <w:t>综上所述，人工智能推荐算法赋能贵州村超文旅空间重构的核心路径在于：以平台流量与受众需求的供需分析为基础，以IPA矩阵精准定位各内容主题的战略象限，以供需差值为核心依据动态调整推荐权重。将“美食特产/文创产品”“现场气氛”“本地民俗文化展示”三大供不应求主题作为算法加权的重点方向，将“足球赛事集锦”从“量的扩张”转向“质的提升”，通过“文化体验—美食消费—氛围沉浸”三维用户兴趣模型实现文旅内容的精准匹配与线下空间导流，最终推动推荐算法从“赛事中心化”向“文旅均衡化”的结构性转型。这一策略框架不仅适用于贵州村超，也可为其他文旅IP的内容运营与推荐算法优化提供可复用的方法论参考。</w:t>
      </w:r>
    </w:p>
    <w:sectPr>
      <w:footerReference r:id="rId4"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HK">
    <w:panose1 w:val="02020200000000000000"/>
    <w:charset w:val="88"/>
    <w:family w:val="auto"/>
    <w:pitch w:val="default"/>
    <w:sig w:usb0="20000083" w:usb1="2ADF3C10" w:usb2="00000016" w:usb3="00000000" w:csb0="60120107"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57779B"/>
    <w:rsid w:val="1F8D6087"/>
    <w:rsid w:val="2F3A2F4A"/>
    <w:rsid w:val="6D496070"/>
    <w:rsid w:val="718970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0" w:after="0" w:line="360" w:lineRule="auto"/>
      <w:ind w:firstLine="0"/>
      <w:jc w:val="both"/>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0" w:after="0" w:line="360" w:lineRule="auto"/>
      <w:ind w:firstLine="0"/>
      <w:jc w:val="both"/>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0" w:after="0" w:line="360" w:lineRule="auto"/>
      <w:ind w:firstLine="0"/>
      <w:jc w:val="both"/>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0" w:after="0" w:line="360" w:lineRule="auto"/>
      <w:ind w:firstLine="0"/>
      <w:jc w:val="both"/>
      <w:outlineLvl w:val="3"/>
    </w:pPr>
    <w:rPr>
      <w:rFonts w:asciiTheme="majorHAnsi" w:hAnsiTheme="majorHAnsi" w:eastAsiaTheme="majorEastAsia" w:cstheme="majorBidi"/>
      <w:b/>
      <w:bCs/>
      <w:iCs/>
      <w:color w:val="000000"/>
      <w:sz w:val="24"/>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WPSOffice手动目录 1"/>
    <w:qFormat/>
    <w:uiPriority w:val="0"/>
    <w:pPr>
      <w:ind w:leftChars="0"/>
    </w:pPr>
    <w:rPr>
      <w:rFonts w:asciiTheme="minorHAnsi" w:hAnsiTheme="minorHAnsi" w:eastAsiaTheme="minorEastAsia" w:cstheme="minorBidi"/>
      <w:sz w:val="20"/>
      <w:szCs w:val="20"/>
    </w:rPr>
  </w:style>
  <w:style w:type="paragraph" w:customStyle="1" w:styleId="165">
    <w:name w:val="WPSOffice手动目录 2"/>
    <w:uiPriority w:val="0"/>
    <w:pPr>
      <w:ind w:leftChars="200"/>
    </w:pPr>
    <w:rPr>
      <w:rFonts w:asciiTheme="minorHAnsi" w:hAnsiTheme="minorHAnsi" w:eastAsiaTheme="minorEastAsia" w:cstheme="minorBidi"/>
      <w:sz w:val="20"/>
      <w:szCs w:val="20"/>
    </w:rPr>
  </w:style>
  <w:style w:type="paragraph" w:customStyle="1" w:styleId="166">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NULL" TargetMode="Externa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12&#36149;&#24030;&#26449;&#36229;\&#25968;&#25454;&#22788;&#29702;\&#21487;&#29992;&#25968;&#25454;&#34920;v2\&#24179;&#21488;&#27969;&#37327;&#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numFmt formatCode="0.00%" sourceLinked="0"/>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[平台流量表.xlsx]Sheet1!$A$211:$A$217</c:f>
              <c:strCache>
                <c:ptCount val="7"/>
                <c:pt idx="0">
                  <c:v>美食特产、周边活动、文创产品</c:v>
                </c:pt>
                <c:pt idx="1">
                  <c:v>人文故事（村民球员故事）</c:v>
                </c:pt>
                <c:pt idx="2">
                  <c:v>乡村振兴、地方经济增收模式</c:v>
                </c:pt>
                <c:pt idx="3">
                  <c:v>现场气氛（如现场布置，观众参与感、啦啦队、中场表演）</c:v>
                </c:pt>
                <c:pt idx="4">
                  <c:v>贵州村超与国足、国际友人联动</c:v>
                </c:pt>
                <c:pt idx="5">
                  <c:v>本地民俗文化、贵州民俗文化展示</c:v>
                </c:pt>
                <c:pt idx="6">
                  <c:v>贵州村超现场的足球赛事集锦、精彩进球</c:v>
                </c:pt>
              </c:strCache>
            </c:strRef>
          </c:cat>
          <c:val>
            <c:numRef>
              <c:f>[平台流量表.xlsx]Sheet1!$C$211:$C$217</c:f>
              <c:numCache>
                <c:formatCode>General</c:formatCode>
                <c:ptCount val="7"/>
                <c:pt idx="0">
                  <c:v>0.0198019801980198</c:v>
                </c:pt>
                <c:pt idx="1">
                  <c:v>0.0297029702970297</c:v>
                </c:pt>
                <c:pt idx="2">
                  <c:v>0.0445544554455446</c:v>
                </c:pt>
                <c:pt idx="3">
                  <c:v>0.148514851485149</c:v>
                </c:pt>
                <c:pt idx="4">
                  <c:v>0.198019801980198</c:v>
                </c:pt>
                <c:pt idx="5">
                  <c:v>0.257425742574257</c:v>
                </c:pt>
                <c:pt idx="6">
                  <c:v>0.485148514851485</c:v>
                </c:pt>
              </c:numCache>
            </c:numRef>
          </c:val>
        </c:ser>
        <c:dLbls>
          <c:showLegendKey val="0"/>
          <c:showVal val="1"/>
          <c:showCatName val="0"/>
          <c:showSerName val="0"/>
          <c:showPercent val="0"/>
          <c:showBubbleSize val="0"/>
        </c:dLbls>
        <c:gapWidth val="182"/>
        <c:overlap val="0"/>
        <c:axId val="925114009"/>
        <c:axId val="578811990"/>
      </c:barChart>
      <c:catAx>
        <c:axId val="925114009"/>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8811990"/>
        <c:crosses val="autoZero"/>
        <c:auto val="1"/>
        <c:lblAlgn val="ctr"/>
        <c:lblOffset val="100"/>
        <c:noMultiLvlLbl val="0"/>
      </c:catAx>
      <c:valAx>
        <c:axId val="57881199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2511400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青马大桥</cp:lastModifiedBy>
  <dcterms:modified xsi:type="dcterms:W3CDTF">2026-06-07T07:57:07Z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