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7月17日飞机舰船活动情况</w:t>
      </w:r>
    </w:p>
    <w:p>
      <w:r>
        <w:t>当日，来自开源军情、网上舆论和雷达的多源信息中，形成了12条具有跨源支撑的可信事件，重点集中于黄海, 东海, 南海等海域。报告采用三源交叉核验方法，仅纳入已形成至少两类来源一致支持的事件，避免单来源噪声和海域错配带来的虚假结论。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中国无侦-7无人机由外围航线进入东海油气田海域（东海，侦察，开源军情, 网上舆论）</w:t>
      </w:r>
    </w:p>
    <w:p>
      <w:r>
        <w:t>- 印度海军尼尔吉里级护卫舰在东海中部组织实弹射击训练（东海，实弹射击，开源军情, 网上舆论）</w:t>
      </w:r>
    </w:p>
    <w:p>
      <w:r>
        <w:t>- 中国无侦-7无人机在东海油气田海域执行海上侦察巡逻（东海，巡逻，开源军情, 网上舆论）</w:t>
      </w:r>
    </w:p>
    <w:p>
      <w:r>
        <w:t>- 澳大利亚MC-55A电子战飞机在东海上海外海活动（东海，未知任务，开源军情, 网上舆论）</w:t>
      </w:r>
    </w:p>
    <w:p>
      <w:r>
        <w:t>- 马来西亚空军两架苏-30MKM在北部湾执行联合巡逻（南海，巡逻，开源军情, 网上舆论）</w:t>
      </w:r>
    </w:p>
    <w:p>
      <w:r>
        <w:t>- 苏-30MKM多用途战斗机马来西亚空军苏-30MKM在南海中部持续活动（南海，持续活动，开源军情, 网上舆论）</w:t>
      </w:r>
    </w:p>
    <w:p>
      <w:pPr>
        <w:pStyle w:val="Heading2"/>
      </w:pPr>
      <w:r>
        <w:t>二、重点态势分析</w:t>
      </w:r>
    </w:p>
    <w:p>
      <w:r>
        <w:t>本日所纳入事件以黄海, 东海, 南海为主，呈现出明显的任务衔接和区域持续特征。跨源核验显示，相关平台活动具有相同任务方向、相近部署时段和一致的海域落点，说明其呈现出稳定的监视、警戒和机动部署特征。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