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245EB5" w14:paraId="59788E9E" w14:textId="77777777" w:rsidTr="1694455E">
        <w:trPr>
          <w:jc w:val="center"/>
        </w:trPr>
        <w:tc>
          <w:tcPr>
            <w:tcW w:w="9504" w:type="dxa"/>
          </w:tcPr>
          <w:p w14:paraId="0FE74390" w14:textId="28D4E70D" w:rsidR="00330177" w:rsidRDefault="00330177" w:rsidP="002E6873">
            <w:pPr>
              <w:jc w:val="center"/>
              <w:rPr>
                <w:b/>
                <w:bCs/>
                <w:color w:val="002060"/>
                <w:sz w:val="32"/>
                <w:szCs w:val="32"/>
              </w:rPr>
            </w:pPr>
            <w:r w:rsidRPr="00D5078E">
              <w:rPr>
                <w:noProof/>
              </w:rPr>
              <w:drawing>
                <wp:inline distT="0" distB="0" distL="0" distR="0" wp14:anchorId="0AB09A45" wp14:editId="238C4D5E">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F1302778-5229-48C8-B89B-903E440F6E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14:paraId="461EDB6E" w14:textId="77777777" w:rsidR="00330177" w:rsidRPr="00942C19" w:rsidRDefault="00330177" w:rsidP="002E6873">
            <w:pPr>
              <w:jc w:val="center"/>
              <w:rPr>
                <w:b/>
                <w:bCs/>
                <w:color w:val="002060"/>
              </w:rPr>
            </w:pPr>
          </w:p>
          <w:p w14:paraId="4D9BD440" w14:textId="667652E1" w:rsidR="002E6873" w:rsidRDefault="004C5A75" w:rsidP="00942C19">
            <w:pPr>
              <w:jc w:val="center"/>
              <w:rPr>
                <w:b/>
                <w:bCs/>
                <w:color w:val="002060"/>
                <w:sz w:val="32"/>
                <w:szCs w:val="32"/>
              </w:rPr>
            </w:pPr>
            <w:r>
              <w:rPr>
                <w:b/>
                <w:bCs/>
                <w:color w:val="002060"/>
                <w:sz w:val="32"/>
                <w:szCs w:val="32"/>
              </w:rPr>
              <w:t>MHRA Approves Leqselvi for AA in the UK</w:t>
            </w:r>
          </w:p>
          <w:p w14:paraId="4A9D2127" w14:textId="77777777" w:rsidR="00FB75D6" w:rsidRDefault="00FB75D6" w:rsidP="00942C19">
            <w:pPr>
              <w:jc w:val="center"/>
              <w:rPr>
                <w:b/>
                <w:bCs/>
                <w:color w:val="002060"/>
                <w:sz w:val="32"/>
                <w:szCs w:val="32"/>
              </w:rPr>
            </w:pP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BD5D4B" w:rsidRPr="00D5078E" w14:paraId="63E4D485" w14:textId="77777777" w:rsidTr="00FA2534">
              <w:trPr>
                <w:trHeight w:val="195"/>
                <w:jc w:val="center"/>
              </w:trPr>
              <w:tc>
                <w:tcPr>
                  <w:tcW w:w="4637" w:type="dxa"/>
                  <w:tcMar>
                    <w:left w:w="105" w:type="dxa"/>
                    <w:right w:w="105" w:type="dxa"/>
                  </w:tcMar>
                  <w:vAlign w:val="center"/>
                </w:tcPr>
                <w:p w14:paraId="612D3CFA" w14:textId="16B8EE22" w:rsidR="00BD5D4B" w:rsidRDefault="00A63C55" w:rsidP="00F069E1">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Company: </w:t>
                  </w:r>
                  <w:r w:rsidR="004C5A75">
                    <w:rPr>
                      <w:rFonts w:ascii="Aptos" w:eastAsia="Aptos" w:hAnsi="Aptos" w:cs="Aptos"/>
                      <w:color w:val="171717" w:themeColor="background2" w:themeShade="1A"/>
                      <w:sz w:val="16"/>
                      <w:szCs w:val="16"/>
                    </w:rPr>
                    <w:t>Sun Pharmaceuticals</w:t>
                  </w:r>
                </w:p>
                <w:p w14:paraId="6470EEFF" w14:textId="7EA39A2B" w:rsidR="00A63C55" w:rsidRPr="00A63C55" w:rsidRDefault="00A63C55" w:rsidP="00A63C55">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Drug: </w:t>
                  </w:r>
                  <w:r w:rsidR="00420E68" w:rsidRPr="00420E68">
                    <w:rPr>
                      <w:rFonts w:ascii="Aptos" w:eastAsia="Aptos" w:hAnsi="Aptos" w:cs="Aptos"/>
                      <w:color w:val="171717" w:themeColor="background2" w:themeShade="1A"/>
                      <w:sz w:val="16"/>
                      <w:szCs w:val="16"/>
                    </w:rPr>
                    <w:t xml:space="preserve">Leqselvi (deuruxolitinib; </w:t>
                  </w:r>
                  <w:r w:rsidR="00142839">
                    <w:rPr>
                      <w:rFonts w:ascii="Aptos" w:eastAsia="Aptos" w:hAnsi="Aptos" w:cs="Aptos"/>
                      <w:color w:val="171717" w:themeColor="background2" w:themeShade="1A"/>
                      <w:sz w:val="16"/>
                      <w:szCs w:val="16"/>
                    </w:rPr>
                    <w:t xml:space="preserve">oral </w:t>
                  </w:r>
                  <w:r w:rsidR="00420E68" w:rsidRPr="00420E68">
                    <w:rPr>
                      <w:rFonts w:ascii="Aptos" w:eastAsia="Aptos" w:hAnsi="Aptos" w:cs="Aptos"/>
                      <w:color w:val="171717" w:themeColor="background2" w:themeShade="1A"/>
                      <w:sz w:val="16"/>
                      <w:szCs w:val="16"/>
                    </w:rPr>
                    <w:t>JAK</w:t>
                  </w:r>
                  <w:r w:rsidR="00873ED7">
                    <w:rPr>
                      <w:rFonts w:ascii="Aptos" w:eastAsia="Aptos" w:hAnsi="Aptos" w:cs="Aptos"/>
                      <w:color w:val="171717" w:themeColor="background2" w:themeShade="1A"/>
                      <w:sz w:val="16"/>
                      <w:szCs w:val="16"/>
                    </w:rPr>
                    <w:t xml:space="preserve">1/2 </w:t>
                  </w:r>
                  <w:r w:rsidR="00420E68" w:rsidRPr="00420E68">
                    <w:rPr>
                      <w:rFonts w:ascii="Aptos" w:eastAsia="Aptos" w:hAnsi="Aptos" w:cs="Aptos"/>
                      <w:color w:val="171717" w:themeColor="background2" w:themeShade="1A"/>
                      <w:sz w:val="16"/>
                      <w:szCs w:val="16"/>
                    </w:rPr>
                    <w:t>inhibitor)</w:t>
                  </w:r>
                </w:p>
              </w:tc>
              <w:tc>
                <w:tcPr>
                  <w:tcW w:w="4637" w:type="dxa"/>
                  <w:tcMar>
                    <w:left w:w="105" w:type="dxa"/>
                    <w:right w:w="105" w:type="dxa"/>
                  </w:tcMar>
                  <w:vAlign w:val="center"/>
                </w:tcPr>
                <w:p w14:paraId="48EE8D15" w14:textId="673BDEC6" w:rsidR="00BD5D4B" w:rsidRDefault="00A63C55" w:rsidP="00F069E1">
                  <w:pPr>
                    <w:jc w:val="center"/>
                    <w:rPr>
                      <w:color w:val="171717" w:themeColor="background2" w:themeShade="1A"/>
                      <w:sz w:val="16"/>
                      <w:szCs w:val="16"/>
                    </w:rPr>
                  </w:pPr>
                  <w:r w:rsidRPr="00A63C55">
                    <w:rPr>
                      <w:b/>
                      <w:bCs/>
                      <w:color w:val="171717" w:themeColor="background2" w:themeShade="1A"/>
                      <w:sz w:val="16"/>
                      <w:szCs w:val="16"/>
                    </w:rPr>
                    <w:t>Date:</w:t>
                  </w:r>
                  <w:r>
                    <w:rPr>
                      <w:color w:val="171717" w:themeColor="background2" w:themeShade="1A"/>
                      <w:sz w:val="16"/>
                      <w:szCs w:val="16"/>
                    </w:rPr>
                    <w:t xml:space="preserve"> </w:t>
                  </w:r>
                  <w:r w:rsidR="00142839">
                    <w:rPr>
                      <w:color w:val="171717" w:themeColor="background2" w:themeShade="1A"/>
                      <w:sz w:val="16"/>
                      <w:szCs w:val="16"/>
                    </w:rPr>
                    <w:t>March 12</w:t>
                  </w:r>
                  <w:r w:rsidR="00142839" w:rsidRPr="00142839">
                    <w:rPr>
                      <w:color w:val="171717" w:themeColor="background2" w:themeShade="1A"/>
                      <w:sz w:val="16"/>
                      <w:szCs w:val="16"/>
                      <w:vertAlign w:val="superscript"/>
                    </w:rPr>
                    <w:t>th</w:t>
                  </w:r>
                  <w:r w:rsidR="00142839">
                    <w:rPr>
                      <w:color w:val="171717" w:themeColor="background2" w:themeShade="1A"/>
                      <w:sz w:val="16"/>
                      <w:szCs w:val="16"/>
                    </w:rPr>
                    <w:t>, 2026</w:t>
                  </w:r>
                </w:p>
                <w:p w14:paraId="5B8DA44C" w14:textId="3260AB49" w:rsidR="00A63C55" w:rsidRPr="00A63C55" w:rsidRDefault="00A63C55" w:rsidP="00F069E1">
                  <w:pPr>
                    <w:jc w:val="center"/>
                    <w:rPr>
                      <w:color w:val="171717" w:themeColor="background2" w:themeShade="1A"/>
                      <w:sz w:val="16"/>
                      <w:szCs w:val="16"/>
                    </w:rPr>
                  </w:pPr>
                  <w:r w:rsidRPr="00A63C55">
                    <w:rPr>
                      <w:b/>
                      <w:bCs/>
                      <w:color w:val="171717" w:themeColor="background2" w:themeShade="1A"/>
                      <w:sz w:val="16"/>
                      <w:szCs w:val="16"/>
                    </w:rPr>
                    <w:t>Source(s):</w:t>
                  </w:r>
                  <w:r>
                    <w:rPr>
                      <w:color w:val="171717" w:themeColor="background2" w:themeShade="1A"/>
                      <w:sz w:val="16"/>
                      <w:szCs w:val="16"/>
                    </w:rPr>
                    <w:t xml:space="preserve"> </w:t>
                  </w:r>
                  <w:hyperlink r:id="rId9" w:history="1">
                    <w:r w:rsidR="00142839" w:rsidRPr="002A6530">
                      <w:rPr>
                        <w:rStyle w:val="Hyperlink"/>
                        <w:color w:val="0070C0"/>
                        <w:sz w:val="16"/>
                        <w:szCs w:val="16"/>
                      </w:rPr>
                      <w:t>MHRA</w:t>
                    </w:r>
                    <w:r w:rsidR="00577F2B" w:rsidRPr="002A6530">
                      <w:rPr>
                        <w:rStyle w:val="Hyperlink"/>
                        <w:color w:val="0070C0"/>
                        <w:sz w:val="16"/>
                        <w:szCs w:val="16"/>
                      </w:rPr>
                      <w:t xml:space="preserve"> press release</w:t>
                    </w:r>
                  </w:hyperlink>
                </w:p>
              </w:tc>
            </w:tr>
          </w:tbl>
          <w:p w14:paraId="723B97E4" w14:textId="77777777" w:rsidR="00017A79" w:rsidRPr="00942C19" w:rsidRDefault="00017A79" w:rsidP="002E6873">
            <w:pPr>
              <w:jc w:val="center"/>
              <w:rPr>
                <w:b/>
                <w:bCs/>
                <w:color w:val="002060"/>
              </w:rPr>
            </w:pPr>
          </w:p>
          <w:p w14:paraId="4357AEE4" w14:textId="77777777" w:rsidR="002E6873" w:rsidRPr="002E6873" w:rsidRDefault="002E6873" w:rsidP="002E459C">
            <w:pPr>
              <w:rPr>
                <w:b/>
                <w:bCs/>
                <w:color w:val="002060"/>
                <w:sz w:val="28"/>
                <w:szCs w:val="28"/>
              </w:rPr>
            </w:pPr>
            <w:r w:rsidRPr="002E6873">
              <w:rPr>
                <w:b/>
                <w:bCs/>
                <w:color w:val="002060"/>
                <w:sz w:val="28"/>
                <w:szCs w:val="28"/>
              </w:rPr>
              <w:t>What happened:</w:t>
            </w:r>
          </w:p>
          <w:p w14:paraId="53131E00" w14:textId="2DF6C0FB" w:rsidR="002E6873" w:rsidRDefault="00577F2B" w:rsidP="002E459C">
            <w:pPr>
              <w:pStyle w:val="ListParagraph"/>
              <w:numPr>
                <w:ilvl w:val="0"/>
                <w:numId w:val="1"/>
              </w:numPr>
              <w:rPr>
                <w:color w:val="171717" w:themeColor="background2" w:themeShade="1A"/>
                <w:sz w:val="22"/>
                <w:szCs w:val="22"/>
              </w:rPr>
            </w:pPr>
            <w:r>
              <w:rPr>
                <w:color w:val="171717" w:themeColor="background2" w:themeShade="1A"/>
                <w:sz w:val="22"/>
                <w:szCs w:val="22"/>
              </w:rPr>
              <w:t xml:space="preserve">The </w:t>
            </w:r>
            <w:r w:rsidR="00F004CA" w:rsidRPr="00F004CA">
              <w:rPr>
                <w:color w:val="171717" w:themeColor="background2" w:themeShade="1A"/>
                <w:sz w:val="22"/>
                <w:szCs w:val="22"/>
              </w:rPr>
              <w:t xml:space="preserve">Medicines and Healthcare products Regulatory Agency (MHRA) </w:t>
            </w:r>
            <w:r w:rsidR="00F004CA">
              <w:rPr>
                <w:color w:val="171717" w:themeColor="background2" w:themeShade="1A"/>
                <w:sz w:val="22"/>
                <w:szCs w:val="22"/>
              </w:rPr>
              <w:t xml:space="preserve">of UK </w:t>
            </w:r>
            <w:r w:rsidR="00F004CA" w:rsidRPr="00F004CA">
              <w:rPr>
                <w:color w:val="171717" w:themeColor="background2" w:themeShade="1A"/>
                <w:sz w:val="22"/>
                <w:szCs w:val="22"/>
              </w:rPr>
              <w:t xml:space="preserve">has </w:t>
            </w:r>
            <w:hyperlink r:id="rId10" w:history="1">
              <w:r w:rsidR="00F004CA" w:rsidRPr="002A6530">
                <w:rPr>
                  <w:rStyle w:val="Hyperlink"/>
                  <w:color w:val="0070C0"/>
                  <w:sz w:val="22"/>
                  <w:szCs w:val="22"/>
                </w:rPr>
                <w:t>approved</w:t>
              </w:r>
            </w:hyperlink>
            <w:r w:rsidR="00F004CA" w:rsidRPr="00F004CA">
              <w:rPr>
                <w:color w:val="171717" w:themeColor="background2" w:themeShade="1A"/>
                <w:sz w:val="22"/>
                <w:szCs w:val="22"/>
              </w:rPr>
              <w:t xml:space="preserve"> </w:t>
            </w:r>
            <w:r w:rsidR="00F004CA">
              <w:rPr>
                <w:color w:val="171717" w:themeColor="background2" w:themeShade="1A"/>
                <w:sz w:val="22"/>
                <w:szCs w:val="22"/>
              </w:rPr>
              <w:t>Leqselvi (</w:t>
            </w:r>
            <w:r w:rsidR="00F004CA" w:rsidRPr="00F004CA">
              <w:rPr>
                <w:color w:val="171717" w:themeColor="background2" w:themeShade="1A"/>
                <w:sz w:val="22"/>
                <w:szCs w:val="22"/>
              </w:rPr>
              <w:t>deuruxolitinib</w:t>
            </w:r>
            <w:r w:rsidR="00F004CA">
              <w:rPr>
                <w:color w:val="171717" w:themeColor="background2" w:themeShade="1A"/>
                <w:sz w:val="22"/>
                <w:szCs w:val="22"/>
              </w:rPr>
              <w:t>, oral JAK</w:t>
            </w:r>
            <w:r w:rsidR="009407B8">
              <w:rPr>
                <w:color w:val="171717" w:themeColor="background2" w:themeShade="1A"/>
                <w:sz w:val="22"/>
                <w:szCs w:val="22"/>
              </w:rPr>
              <w:t>1/2</w:t>
            </w:r>
            <w:r w:rsidR="00F004CA">
              <w:rPr>
                <w:color w:val="171717" w:themeColor="background2" w:themeShade="1A"/>
                <w:sz w:val="22"/>
                <w:szCs w:val="22"/>
              </w:rPr>
              <w:t xml:space="preserve"> inhibitor)</w:t>
            </w:r>
            <w:r w:rsidR="00F004CA" w:rsidRPr="00F004CA">
              <w:rPr>
                <w:color w:val="171717" w:themeColor="background2" w:themeShade="1A"/>
                <w:sz w:val="22"/>
                <w:szCs w:val="22"/>
              </w:rPr>
              <w:t xml:space="preserve"> to treat severe alopecia areata</w:t>
            </w:r>
            <w:r w:rsidR="00F004CA">
              <w:rPr>
                <w:color w:val="171717" w:themeColor="background2" w:themeShade="1A"/>
                <w:sz w:val="22"/>
                <w:szCs w:val="22"/>
              </w:rPr>
              <w:t xml:space="preserve"> (AA)</w:t>
            </w:r>
            <w:r w:rsidR="00F004CA" w:rsidRPr="00F004CA">
              <w:rPr>
                <w:color w:val="171717" w:themeColor="background2" w:themeShade="1A"/>
                <w:sz w:val="22"/>
                <w:szCs w:val="22"/>
              </w:rPr>
              <w:t xml:space="preserve"> in adults</w:t>
            </w:r>
          </w:p>
          <w:p w14:paraId="2A6B79BB" w14:textId="5774691B" w:rsidR="00F004CA" w:rsidRPr="002E6873" w:rsidRDefault="00BB4E68" w:rsidP="002E459C">
            <w:pPr>
              <w:pStyle w:val="ListParagraph"/>
              <w:numPr>
                <w:ilvl w:val="1"/>
                <w:numId w:val="1"/>
              </w:numPr>
              <w:rPr>
                <w:color w:val="171717" w:themeColor="background2" w:themeShade="1A"/>
                <w:sz w:val="22"/>
                <w:szCs w:val="22"/>
              </w:rPr>
            </w:pPr>
            <w:r w:rsidRPr="00BB4E68">
              <w:rPr>
                <w:color w:val="171717" w:themeColor="background2" w:themeShade="1A"/>
                <w:sz w:val="22"/>
                <w:szCs w:val="22"/>
              </w:rPr>
              <w:t>The recommended dose is an 8 mg tablet to be taken twice a day</w:t>
            </w:r>
            <w:r>
              <w:rPr>
                <w:color w:val="171717" w:themeColor="background2" w:themeShade="1A"/>
                <w:sz w:val="22"/>
                <w:szCs w:val="22"/>
              </w:rPr>
              <w:t xml:space="preserve"> (BID)</w:t>
            </w:r>
          </w:p>
          <w:p w14:paraId="6D7E3E7A" w14:textId="77777777" w:rsidR="00E60CF4" w:rsidRPr="00025AB5" w:rsidRDefault="00873ED7" w:rsidP="002E459C">
            <w:pPr>
              <w:pStyle w:val="ListParagraph"/>
              <w:numPr>
                <w:ilvl w:val="0"/>
                <w:numId w:val="1"/>
              </w:numPr>
              <w:rPr>
                <w:rFonts w:ascii="Aptos" w:hAnsi="Aptos"/>
                <w:color w:val="002060"/>
                <w:sz w:val="22"/>
                <w:szCs w:val="22"/>
              </w:rPr>
            </w:pPr>
            <w:r>
              <w:rPr>
                <w:color w:val="171717" w:themeColor="background2" w:themeShade="1A"/>
                <w:sz w:val="22"/>
                <w:szCs w:val="22"/>
              </w:rPr>
              <w:t xml:space="preserve">The approval is based on </w:t>
            </w:r>
            <w:r w:rsidRPr="00025AB5">
              <w:rPr>
                <w:rFonts w:ascii="Aptos" w:hAnsi="Aptos"/>
                <w:color w:val="171717" w:themeColor="background2" w:themeShade="1A"/>
                <w:sz w:val="22"/>
                <w:szCs w:val="22"/>
              </w:rPr>
              <w:t xml:space="preserve">the results </w:t>
            </w:r>
            <w:r w:rsidR="0081682C" w:rsidRPr="00025AB5">
              <w:rPr>
                <w:rFonts w:ascii="Aptos" w:hAnsi="Aptos"/>
                <w:color w:val="171717" w:themeColor="background2" w:themeShade="1A"/>
                <w:sz w:val="22"/>
                <w:szCs w:val="22"/>
              </w:rPr>
              <w:t xml:space="preserve">from </w:t>
            </w:r>
            <w:r w:rsidRPr="00025AB5">
              <w:rPr>
                <w:rFonts w:ascii="Aptos" w:eastAsia="Aptos" w:hAnsi="Aptos" w:cs="Calibri"/>
                <w:sz w:val="22"/>
                <w:szCs w:val="22"/>
              </w:rPr>
              <w:t xml:space="preserve">Phase 3 </w:t>
            </w:r>
            <w:hyperlink r:id="rId11">
              <w:r w:rsidRPr="00025AB5">
                <w:rPr>
                  <w:rFonts w:ascii="Aptos" w:eastAsia="Aptos" w:hAnsi="Aptos" w:cs="Calibri"/>
                  <w:color w:val="0070C0"/>
                  <w:sz w:val="22"/>
                  <w:szCs w:val="22"/>
                  <w:u w:val="single"/>
                </w:rPr>
                <w:t>THRIVE-AA1</w:t>
              </w:r>
            </w:hyperlink>
            <w:r w:rsidRPr="00025AB5">
              <w:rPr>
                <w:rFonts w:ascii="Aptos" w:eastAsia="Aptos" w:hAnsi="Aptos" w:cs="Calibri"/>
                <w:sz w:val="22"/>
                <w:szCs w:val="22"/>
              </w:rPr>
              <w:t xml:space="preserve"> and </w:t>
            </w:r>
            <w:hyperlink r:id="rId12" w:history="1">
              <w:r w:rsidRPr="00025AB5">
                <w:rPr>
                  <w:rStyle w:val="Hyperlink"/>
                  <w:rFonts w:ascii="Aptos" w:eastAsia="Aptos" w:hAnsi="Aptos" w:cs="Calibri"/>
                  <w:color w:val="0070C0"/>
                  <w:sz w:val="22"/>
                  <w:szCs w:val="22"/>
                </w:rPr>
                <w:t>THRIVE-AA2</w:t>
              </w:r>
            </w:hyperlink>
            <w:r w:rsidRPr="00025AB5">
              <w:rPr>
                <w:rFonts w:ascii="Aptos" w:hAnsi="Aptos"/>
                <w:color w:val="171717" w:themeColor="background2" w:themeShade="1A"/>
                <w:sz w:val="22"/>
                <w:szCs w:val="22"/>
              </w:rPr>
              <w:t xml:space="preserve"> trials</w:t>
            </w:r>
          </w:p>
          <w:p w14:paraId="5AA3D94D" w14:textId="57CA7CFC" w:rsidR="004F798F" w:rsidRPr="00C7091E" w:rsidRDefault="00CA7702" w:rsidP="002E459C">
            <w:pPr>
              <w:pStyle w:val="ListParagraph"/>
              <w:numPr>
                <w:ilvl w:val="0"/>
                <w:numId w:val="1"/>
              </w:numPr>
              <w:rPr>
                <w:color w:val="000000" w:themeColor="text1"/>
                <w:sz w:val="22"/>
                <w:szCs w:val="22"/>
              </w:rPr>
            </w:pPr>
            <w:r>
              <w:rPr>
                <w:color w:val="171717" w:themeColor="background2" w:themeShade="1A"/>
                <w:sz w:val="22"/>
                <w:szCs w:val="22"/>
              </w:rPr>
              <w:t xml:space="preserve">Leqselvi </w:t>
            </w:r>
            <w:r w:rsidR="00C7091E" w:rsidRPr="00C7091E">
              <w:rPr>
                <w:color w:val="000000" w:themeColor="text1"/>
                <w:sz w:val="22"/>
                <w:szCs w:val="22"/>
              </w:rPr>
              <w:t>is subject to additional monitoring to allow quick identification of new safety information</w:t>
            </w:r>
          </w:p>
          <w:p w14:paraId="15F9DE1A" w14:textId="6A06E850" w:rsidR="00630730" w:rsidRPr="002A6530" w:rsidRDefault="00A66975" w:rsidP="002E459C">
            <w:pPr>
              <w:pStyle w:val="ListParagraph"/>
              <w:numPr>
                <w:ilvl w:val="0"/>
                <w:numId w:val="1"/>
              </w:numPr>
              <w:rPr>
                <w:color w:val="000000" w:themeColor="text1"/>
                <w:sz w:val="22"/>
                <w:szCs w:val="22"/>
              </w:rPr>
            </w:pPr>
            <w:r w:rsidRPr="002A6530">
              <w:rPr>
                <w:color w:val="000000" w:themeColor="text1"/>
                <w:sz w:val="22"/>
                <w:szCs w:val="22"/>
              </w:rPr>
              <w:t xml:space="preserve">The Summary of Product Characteristics and Patient Information leaflets will be </w:t>
            </w:r>
            <w:hyperlink r:id="rId13" w:history="1">
              <w:r w:rsidRPr="002A6530">
                <w:rPr>
                  <w:rStyle w:val="Hyperlink"/>
                  <w:color w:val="0070C0"/>
                  <w:sz w:val="22"/>
                  <w:szCs w:val="22"/>
                </w:rPr>
                <w:t>published</w:t>
              </w:r>
            </w:hyperlink>
            <w:r w:rsidRPr="002A6530">
              <w:rPr>
                <w:color w:val="000000" w:themeColor="text1"/>
                <w:sz w:val="22"/>
                <w:szCs w:val="22"/>
              </w:rPr>
              <w:t xml:space="preserve"> within 7 days of approval</w:t>
            </w:r>
          </w:p>
          <w:p w14:paraId="7B742149" w14:textId="77777777" w:rsidR="002E6873" w:rsidRDefault="002E6873" w:rsidP="002E459C">
            <w:pPr>
              <w:rPr>
                <w:color w:val="002060"/>
                <w:sz w:val="22"/>
                <w:szCs w:val="22"/>
              </w:rPr>
            </w:pPr>
          </w:p>
          <w:p w14:paraId="120E1270" w14:textId="758C1A13" w:rsidR="002E6873" w:rsidRPr="002E6873" w:rsidRDefault="002E6873" w:rsidP="002E459C">
            <w:pPr>
              <w:rPr>
                <w:b/>
                <w:bCs/>
                <w:color w:val="002060"/>
                <w:sz w:val="28"/>
                <w:szCs w:val="28"/>
              </w:rPr>
            </w:pPr>
            <w:r>
              <w:rPr>
                <w:b/>
                <w:bCs/>
                <w:color w:val="002060"/>
                <w:sz w:val="28"/>
                <w:szCs w:val="28"/>
              </w:rPr>
              <w:t xml:space="preserve">Impact (CI PoV): </w:t>
            </w:r>
            <w:r w:rsidR="00217930" w:rsidRPr="00217930">
              <w:rPr>
                <w:b/>
                <w:bCs/>
                <w:color w:val="C00000"/>
                <w:sz w:val="28"/>
                <w:szCs w:val="28"/>
              </w:rPr>
              <w:t>High</w:t>
            </w:r>
          </w:p>
          <w:p w14:paraId="31E2BAFF" w14:textId="65CC4F35" w:rsidR="00B038CF" w:rsidRDefault="006113A8" w:rsidP="00217930">
            <w:pPr>
              <w:pStyle w:val="ListParagraph"/>
              <w:numPr>
                <w:ilvl w:val="0"/>
                <w:numId w:val="1"/>
              </w:numPr>
              <w:spacing w:after="160"/>
              <w:rPr>
                <w:color w:val="171717" w:themeColor="background2" w:themeShade="1A"/>
                <w:sz w:val="22"/>
                <w:szCs w:val="22"/>
              </w:rPr>
            </w:pPr>
            <w:r>
              <w:rPr>
                <w:color w:val="171717" w:themeColor="background2" w:themeShade="1A"/>
                <w:sz w:val="22"/>
                <w:szCs w:val="22"/>
              </w:rPr>
              <w:t xml:space="preserve">The </w:t>
            </w:r>
            <w:r w:rsidR="00D56D32">
              <w:rPr>
                <w:color w:val="171717" w:themeColor="background2" w:themeShade="1A"/>
                <w:sz w:val="22"/>
                <w:szCs w:val="22"/>
              </w:rPr>
              <w:t xml:space="preserve">approval of Leqselvi in the UK expands </w:t>
            </w:r>
            <w:r w:rsidR="00403567">
              <w:rPr>
                <w:color w:val="171717" w:themeColor="background2" w:themeShade="1A"/>
                <w:sz w:val="22"/>
                <w:szCs w:val="22"/>
              </w:rPr>
              <w:t xml:space="preserve">the </w:t>
            </w:r>
            <w:r w:rsidR="009406E7">
              <w:rPr>
                <w:color w:val="171717" w:themeColor="background2" w:themeShade="1A"/>
                <w:sz w:val="22"/>
                <w:szCs w:val="22"/>
              </w:rPr>
              <w:t>addressable</w:t>
            </w:r>
            <w:r w:rsidR="00403567">
              <w:rPr>
                <w:color w:val="171717" w:themeColor="background2" w:themeShade="1A"/>
                <w:sz w:val="22"/>
                <w:szCs w:val="22"/>
              </w:rPr>
              <w:t xml:space="preserve"> </w:t>
            </w:r>
            <w:r w:rsidR="00893A23">
              <w:rPr>
                <w:color w:val="171717" w:themeColor="background2" w:themeShade="1A"/>
                <w:sz w:val="22"/>
                <w:szCs w:val="22"/>
              </w:rPr>
              <w:t xml:space="preserve">patient </w:t>
            </w:r>
            <w:r w:rsidR="00403567">
              <w:rPr>
                <w:color w:val="171717" w:themeColor="background2" w:themeShade="1A"/>
                <w:sz w:val="22"/>
                <w:szCs w:val="22"/>
              </w:rPr>
              <w:t>population</w:t>
            </w:r>
            <w:r w:rsidR="008F39A3">
              <w:rPr>
                <w:color w:val="171717" w:themeColor="background2" w:themeShade="1A"/>
                <w:sz w:val="22"/>
                <w:szCs w:val="22"/>
              </w:rPr>
              <w:t xml:space="preserve"> for</w:t>
            </w:r>
            <w:r w:rsidR="00403567">
              <w:rPr>
                <w:color w:val="171717" w:themeColor="background2" w:themeShade="1A"/>
                <w:sz w:val="22"/>
                <w:szCs w:val="22"/>
              </w:rPr>
              <w:t xml:space="preserve"> </w:t>
            </w:r>
            <w:r w:rsidR="009406E7">
              <w:rPr>
                <w:color w:val="171717" w:themeColor="background2" w:themeShade="1A"/>
                <w:sz w:val="22"/>
                <w:szCs w:val="22"/>
              </w:rPr>
              <w:t>AA</w:t>
            </w:r>
            <w:r w:rsidR="00F04990">
              <w:rPr>
                <w:color w:val="171717" w:themeColor="background2" w:themeShade="1A"/>
                <w:sz w:val="22"/>
                <w:szCs w:val="22"/>
              </w:rPr>
              <w:t xml:space="preserve"> </w:t>
            </w:r>
            <w:r w:rsidR="00F04990" w:rsidRPr="00F04990">
              <w:rPr>
                <w:color w:val="171717" w:themeColor="background2" w:themeShade="1A"/>
                <w:sz w:val="22"/>
                <w:szCs w:val="22"/>
              </w:rPr>
              <w:t>and extends its geographic reach beyond the US</w:t>
            </w:r>
          </w:p>
          <w:p w14:paraId="546D4095" w14:textId="64C212A9" w:rsidR="002E6873" w:rsidRDefault="00D73313" w:rsidP="00217930">
            <w:pPr>
              <w:pStyle w:val="ListParagraph"/>
              <w:numPr>
                <w:ilvl w:val="0"/>
                <w:numId w:val="1"/>
              </w:numPr>
              <w:spacing w:after="160"/>
              <w:rPr>
                <w:color w:val="171717" w:themeColor="background2" w:themeShade="1A"/>
                <w:sz w:val="22"/>
                <w:szCs w:val="22"/>
              </w:rPr>
            </w:pPr>
            <w:r>
              <w:rPr>
                <w:color w:val="171717" w:themeColor="background2" w:themeShade="1A"/>
                <w:sz w:val="22"/>
                <w:szCs w:val="22"/>
              </w:rPr>
              <w:t xml:space="preserve">Leqselvi </w:t>
            </w:r>
            <w:r w:rsidR="006D4D77">
              <w:rPr>
                <w:color w:val="171717" w:themeColor="background2" w:themeShade="1A"/>
                <w:sz w:val="22"/>
                <w:szCs w:val="22"/>
              </w:rPr>
              <w:t>is the third approved</w:t>
            </w:r>
            <w:r w:rsidR="00812EA6">
              <w:rPr>
                <w:color w:val="171717" w:themeColor="background2" w:themeShade="1A"/>
                <w:sz w:val="22"/>
                <w:szCs w:val="22"/>
              </w:rPr>
              <w:t xml:space="preserve"> drug for AA in</w:t>
            </w:r>
            <w:r w:rsidR="006D4D77">
              <w:rPr>
                <w:color w:val="171717" w:themeColor="background2" w:themeShade="1A"/>
                <w:sz w:val="22"/>
                <w:szCs w:val="22"/>
              </w:rPr>
              <w:t xml:space="preserve"> </w:t>
            </w:r>
            <w:r>
              <w:rPr>
                <w:color w:val="171717" w:themeColor="background2" w:themeShade="1A"/>
                <w:sz w:val="22"/>
                <w:szCs w:val="22"/>
              </w:rPr>
              <w:t xml:space="preserve">the UK </w:t>
            </w:r>
            <w:r w:rsidR="008C03A1">
              <w:rPr>
                <w:color w:val="171717" w:themeColor="background2" w:themeShade="1A"/>
                <w:sz w:val="22"/>
                <w:szCs w:val="22"/>
              </w:rPr>
              <w:t xml:space="preserve">after </w:t>
            </w:r>
            <w:r w:rsidR="00F722E5" w:rsidRPr="00117BE6">
              <w:rPr>
                <w:color w:val="171717" w:themeColor="background2" w:themeShade="1A"/>
                <w:sz w:val="22"/>
                <w:szCs w:val="22"/>
              </w:rPr>
              <w:t xml:space="preserve">Pfizer’s Litfulo (ritlecitinib; oral JAK3/TEC inhibitor) and Eli Lilly’s Olumiant (baricitinib; oral JAK1/2 inhibitor) </w:t>
            </w:r>
          </w:p>
          <w:p w14:paraId="7A3095C2" w14:textId="3C6F77CA" w:rsidR="00117BE6" w:rsidRDefault="000965FC" w:rsidP="002E459C">
            <w:pPr>
              <w:pStyle w:val="ListParagraph"/>
              <w:numPr>
                <w:ilvl w:val="0"/>
                <w:numId w:val="1"/>
              </w:numPr>
              <w:rPr>
                <w:color w:val="171717" w:themeColor="background2" w:themeShade="1A"/>
                <w:sz w:val="22"/>
                <w:szCs w:val="22"/>
              </w:rPr>
            </w:pPr>
            <w:r>
              <w:rPr>
                <w:color w:val="171717" w:themeColor="background2" w:themeShade="1A"/>
                <w:sz w:val="22"/>
                <w:szCs w:val="22"/>
              </w:rPr>
              <w:t>Not</w:t>
            </w:r>
            <w:r w:rsidR="00893A23">
              <w:rPr>
                <w:color w:val="171717" w:themeColor="background2" w:themeShade="1A"/>
                <w:sz w:val="22"/>
                <w:szCs w:val="22"/>
              </w:rPr>
              <w:t>ably,</w:t>
            </w:r>
            <w:r w:rsidR="006A3E27">
              <w:rPr>
                <w:color w:val="171717" w:themeColor="background2" w:themeShade="1A"/>
                <w:sz w:val="22"/>
                <w:szCs w:val="22"/>
              </w:rPr>
              <w:t xml:space="preserve"> Leqselvi’s and Olumiant</w:t>
            </w:r>
            <w:r w:rsidR="0080257B">
              <w:rPr>
                <w:color w:val="171717" w:themeColor="background2" w:themeShade="1A"/>
                <w:sz w:val="22"/>
                <w:szCs w:val="22"/>
              </w:rPr>
              <w:t xml:space="preserve"> are currently approved only for adults</w:t>
            </w:r>
            <w:r w:rsidR="00D20648">
              <w:rPr>
                <w:color w:val="171717" w:themeColor="background2" w:themeShade="1A"/>
                <w:sz w:val="22"/>
                <w:szCs w:val="22"/>
              </w:rPr>
              <w:t>,</w:t>
            </w:r>
            <w:r w:rsidR="006A3E27">
              <w:rPr>
                <w:color w:val="171717" w:themeColor="background2" w:themeShade="1A"/>
                <w:sz w:val="22"/>
                <w:szCs w:val="22"/>
              </w:rPr>
              <w:t xml:space="preserve"> wh</w:t>
            </w:r>
            <w:r w:rsidR="00D20648">
              <w:rPr>
                <w:color w:val="171717" w:themeColor="background2" w:themeShade="1A"/>
                <w:sz w:val="22"/>
                <w:szCs w:val="22"/>
              </w:rPr>
              <w:t>ereas</w:t>
            </w:r>
            <w:r w:rsidR="006A3E27">
              <w:rPr>
                <w:color w:val="171717" w:themeColor="background2" w:themeShade="1A"/>
                <w:sz w:val="22"/>
                <w:szCs w:val="22"/>
              </w:rPr>
              <w:t xml:space="preserve"> Litfulo </w:t>
            </w:r>
            <w:r w:rsidR="000650C3">
              <w:rPr>
                <w:color w:val="171717" w:themeColor="background2" w:themeShade="1A"/>
                <w:sz w:val="22"/>
                <w:szCs w:val="22"/>
              </w:rPr>
              <w:t>is approved to treat a broader population that includes adolescents</w:t>
            </w:r>
          </w:p>
          <w:p w14:paraId="4E616C91" w14:textId="588CA776" w:rsidR="00925F70" w:rsidRPr="00093C38" w:rsidRDefault="000965FC" w:rsidP="002E459C">
            <w:pPr>
              <w:pStyle w:val="ListParagraph"/>
              <w:numPr>
                <w:ilvl w:val="1"/>
                <w:numId w:val="1"/>
              </w:numPr>
              <w:rPr>
                <w:i/>
                <w:iCs/>
                <w:color w:val="0070C0"/>
                <w:sz w:val="22"/>
                <w:szCs w:val="22"/>
              </w:rPr>
            </w:pPr>
            <w:r w:rsidRPr="00F14D1B">
              <w:rPr>
                <w:i/>
                <w:iCs/>
                <w:color w:val="0070C0"/>
                <w:sz w:val="22"/>
                <w:szCs w:val="22"/>
              </w:rPr>
              <w:t xml:space="preserve">While </w:t>
            </w:r>
            <w:r w:rsidR="00D23A08" w:rsidRPr="00F14D1B">
              <w:rPr>
                <w:i/>
                <w:iCs/>
                <w:color w:val="0070C0"/>
                <w:sz w:val="22"/>
                <w:szCs w:val="22"/>
              </w:rPr>
              <w:t xml:space="preserve">Olumiant’s </w:t>
            </w:r>
            <w:r w:rsidR="00D20648">
              <w:rPr>
                <w:i/>
                <w:iCs/>
                <w:color w:val="0070C0"/>
                <w:sz w:val="22"/>
                <w:szCs w:val="22"/>
              </w:rPr>
              <w:t xml:space="preserve">potential </w:t>
            </w:r>
            <w:r w:rsidR="00D23A08" w:rsidRPr="00F14D1B">
              <w:rPr>
                <w:i/>
                <w:iCs/>
                <w:color w:val="0070C0"/>
                <w:sz w:val="22"/>
                <w:szCs w:val="22"/>
              </w:rPr>
              <w:t xml:space="preserve">label expansion </w:t>
            </w:r>
            <w:r w:rsidR="00D20648">
              <w:rPr>
                <w:i/>
                <w:iCs/>
                <w:color w:val="0070C0"/>
                <w:sz w:val="22"/>
                <w:szCs w:val="22"/>
              </w:rPr>
              <w:t>to</w:t>
            </w:r>
            <w:r w:rsidR="00D23A08" w:rsidRPr="00F14D1B">
              <w:rPr>
                <w:i/>
                <w:iCs/>
                <w:color w:val="0070C0"/>
                <w:sz w:val="22"/>
                <w:szCs w:val="22"/>
              </w:rPr>
              <w:t xml:space="preserve"> adolescents in the</w:t>
            </w:r>
            <w:r w:rsidR="0018227E">
              <w:rPr>
                <w:i/>
                <w:iCs/>
                <w:color w:val="0070C0"/>
                <w:sz w:val="22"/>
                <w:szCs w:val="22"/>
              </w:rPr>
              <w:t xml:space="preserve"> EU is </w:t>
            </w:r>
            <w:hyperlink r:id="rId14" w:history="1">
              <w:r w:rsidR="0018227E" w:rsidRPr="003A6D7C">
                <w:rPr>
                  <w:rStyle w:val="Hyperlink"/>
                  <w:i/>
                  <w:iCs/>
                  <w:color w:val="0070C0"/>
                  <w:sz w:val="22"/>
                  <w:szCs w:val="22"/>
                </w:rPr>
                <w:t>expected</w:t>
              </w:r>
            </w:hyperlink>
            <w:r w:rsidR="0018227E">
              <w:rPr>
                <w:i/>
                <w:iCs/>
                <w:color w:val="0070C0"/>
                <w:sz w:val="22"/>
                <w:szCs w:val="22"/>
              </w:rPr>
              <w:t xml:space="preserve"> in </w:t>
            </w:r>
            <w:r w:rsidR="00A95319">
              <w:rPr>
                <w:i/>
                <w:iCs/>
                <w:color w:val="0070C0"/>
                <w:sz w:val="22"/>
                <w:szCs w:val="22"/>
              </w:rPr>
              <w:t xml:space="preserve">late </w:t>
            </w:r>
            <w:r w:rsidR="0000587B">
              <w:rPr>
                <w:i/>
                <w:iCs/>
                <w:color w:val="0070C0"/>
                <w:sz w:val="22"/>
                <w:szCs w:val="22"/>
              </w:rPr>
              <w:t>March/April 2026</w:t>
            </w:r>
            <w:r w:rsidR="00C21ABE">
              <w:rPr>
                <w:i/>
                <w:iCs/>
                <w:color w:val="0070C0"/>
                <w:sz w:val="22"/>
                <w:szCs w:val="22"/>
              </w:rPr>
              <w:t xml:space="preserve"> </w:t>
            </w:r>
            <w:r w:rsidR="0018227E">
              <w:rPr>
                <w:i/>
                <w:iCs/>
                <w:color w:val="0070C0"/>
                <w:sz w:val="22"/>
                <w:szCs w:val="22"/>
              </w:rPr>
              <w:t xml:space="preserve">and in the </w:t>
            </w:r>
            <w:hyperlink r:id="rId15" w:history="1">
              <w:r w:rsidR="00D23A08" w:rsidRPr="003A6D7C">
                <w:rPr>
                  <w:rStyle w:val="Hyperlink"/>
                  <w:i/>
                  <w:iCs/>
                  <w:color w:val="0070C0"/>
                  <w:sz w:val="22"/>
                  <w:szCs w:val="22"/>
                </w:rPr>
                <w:t>US</w:t>
              </w:r>
            </w:hyperlink>
            <w:r w:rsidR="00D23A08" w:rsidRPr="00F14D1B">
              <w:rPr>
                <w:i/>
                <w:iCs/>
                <w:color w:val="0070C0"/>
                <w:sz w:val="22"/>
                <w:szCs w:val="22"/>
              </w:rPr>
              <w:t xml:space="preserve"> i</w:t>
            </w:r>
            <w:r w:rsidR="003A6D7C">
              <w:rPr>
                <w:i/>
                <w:iCs/>
                <w:color w:val="0070C0"/>
                <w:sz w:val="22"/>
                <w:szCs w:val="22"/>
              </w:rPr>
              <w:t>n</w:t>
            </w:r>
            <w:r w:rsidR="00D23A08" w:rsidRPr="00F14D1B">
              <w:rPr>
                <w:i/>
                <w:iCs/>
                <w:color w:val="0070C0"/>
                <w:sz w:val="22"/>
                <w:szCs w:val="22"/>
              </w:rPr>
              <w:t xml:space="preserve"> Q4 2026, </w:t>
            </w:r>
            <w:r w:rsidR="00F14D1B" w:rsidRPr="00093C38">
              <w:rPr>
                <w:i/>
                <w:iCs/>
                <w:color w:val="0070C0"/>
                <w:sz w:val="22"/>
                <w:szCs w:val="22"/>
              </w:rPr>
              <w:t xml:space="preserve">Leqselvi’s </w:t>
            </w:r>
            <w:hyperlink r:id="rId16" w:history="1">
              <w:r w:rsidR="00F14D1B" w:rsidRPr="00093C38">
                <w:rPr>
                  <w:rStyle w:val="Hyperlink"/>
                  <w:i/>
                  <w:iCs/>
                  <w:color w:val="0070C0"/>
                  <w:sz w:val="22"/>
                  <w:szCs w:val="22"/>
                </w:rPr>
                <w:t>Phase 3</w:t>
              </w:r>
            </w:hyperlink>
            <w:r w:rsidR="00F14D1B" w:rsidRPr="00093C38">
              <w:rPr>
                <w:i/>
                <w:iCs/>
                <w:color w:val="0070C0"/>
                <w:sz w:val="22"/>
                <w:szCs w:val="22"/>
              </w:rPr>
              <w:t xml:space="preserve"> in </w:t>
            </w:r>
            <w:r w:rsidR="00F14D1B" w:rsidRPr="00F14D1B">
              <w:rPr>
                <w:i/>
                <w:iCs/>
                <w:color w:val="0070C0"/>
                <w:sz w:val="22"/>
                <w:szCs w:val="22"/>
              </w:rPr>
              <w:t>adolescents i</w:t>
            </w:r>
            <w:r w:rsidR="003A6D7C">
              <w:rPr>
                <w:i/>
                <w:iCs/>
                <w:color w:val="0070C0"/>
                <w:sz w:val="22"/>
                <w:szCs w:val="22"/>
              </w:rPr>
              <w:t>s</w:t>
            </w:r>
            <w:r w:rsidR="00F14D1B" w:rsidRPr="00F14D1B">
              <w:rPr>
                <w:i/>
                <w:iCs/>
                <w:color w:val="0070C0"/>
                <w:sz w:val="22"/>
                <w:szCs w:val="22"/>
              </w:rPr>
              <w:t xml:space="preserve"> ongoing (</w:t>
            </w:r>
            <w:r w:rsidR="00093C38" w:rsidRPr="00D87631">
              <w:rPr>
                <w:i/>
                <w:iCs/>
                <w:color w:val="0070C0"/>
                <w:sz w:val="22"/>
                <w:szCs w:val="22"/>
              </w:rPr>
              <w:t xml:space="preserve">CI estimates US approval in Q2 2029 and EU </w:t>
            </w:r>
            <w:r w:rsidR="001D069A" w:rsidRPr="00D87631">
              <w:rPr>
                <w:i/>
                <w:iCs/>
                <w:color w:val="0070C0"/>
                <w:sz w:val="22"/>
                <w:szCs w:val="22"/>
              </w:rPr>
              <w:t xml:space="preserve">approval </w:t>
            </w:r>
            <w:r w:rsidR="00093C38" w:rsidRPr="00D87631">
              <w:rPr>
                <w:i/>
                <w:iCs/>
                <w:color w:val="0070C0"/>
                <w:sz w:val="22"/>
                <w:szCs w:val="22"/>
              </w:rPr>
              <w:t>in Q3 2029</w:t>
            </w:r>
            <w:r w:rsidR="00F14D1B" w:rsidRPr="00093C38">
              <w:rPr>
                <w:i/>
                <w:iCs/>
                <w:color w:val="0070C0"/>
                <w:sz w:val="22"/>
                <w:szCs w:val="22"/>
              </w:rPr>
              <w:t>)</w:t>
            </w:r>
            <w:r w:rsidR="00D23A08" w:rsidRPr="00093C38">
              <w:rPr>
                <w:i/>
                <w:iCs/>
                <w:color w:val="0070C0"/>
                <w:sz w:val="22"/>
                <w:szCs w:val="22"/>
              </w:rPr>
              <w:t xml:space="preserve"> </w:t>
            </w:r>
          </w:p>
          <w:p w14:paraId="3A47B2BD" w14:textId="77777777" w:rsidR="00093C38" w:rsidRPr="00093C38" w:rsidRDefault="00093C38" w:rsidP="002E459C">
            <w:pPr>
              <w:pStyle w:val="ListParagraph"/>
              <w:ind w:left="1440"/>
              <w:rPr>
                <w:i/>
                <w:iCs/>
                <w:color w:val="0070C0"/>
                <w:sz w:val="22"/>
                <w:szCs w:val="22"/>
              </w:rPr>
            </w:pPr>
          </w:p>
          <w:p w14:paraId="3794E578" w14:textId="43F62694" w:rsidR="002E6873" w:rsidRPr="002E6873" w:rsidRDefault="00B533F9" w:rsidP="002E459C">
            <w:pPr>
              <w:rPr>
                <w:b/>
                <w:bCs/>
                <w:color w:val="002060"/>
                <w:sz w:val="28"/>
                <w:szCs w:val="28"/>
              </w:rPr>
            </w:pPr>
            <w:r>
              <w:rPr>
                <w:b/>
                <w:bCs/>
                <w:color w:val="002060"/>
                <w:sz w:val="28"/>
                <w:szCs w:val="28"/>
              </w:rPr>
              <w:t xml:space="preserve">Why it matters </w:t>
            </w:r>
            <w:r w:rsidRPr="00B533F9">
              <w:rPr>
                <w:i/>
                <w:iCs/>
                <w:color w:val="0070C0"/>
              </w:rPr>
              <w:t>(CI Insights in blue italics)</w:t>
            </w:r>
            <w:r w:rsidR="002E6873" w:rsidRPr="002E6873">
              <w:rPr>
                <w:b/>
                <w:bCs/>
                <w:color w:val="002060"/>
                <w:sz w:val="28"/>
                <w:szCs w:val="28"/>
              </w:rPr>
              <w:t>:</w:t>
            </w:r>
          </w:p>
          <w:p w14:paraId="0F1399D2" w14:textId="3209B6E6" w:rsidR="004E3495" w:rsidRDefault="004E3495" w:rsidP="002E459C">
            <w:pPr>
              <w:pStyle w:val="ListParagraph"/>
              <w:numPr>
                <w:ilvl w:val="0"/>
                <w:numId w:val="1"/>
              </w:numPr>
              <w:rPr>
                <w:color w:val="171717" w:themeColor="background2" w:themeShade="1A"/>
                <w:sz w:val="22"/>
                <w:szCs w:val="22"/>
              </w:rPr>
            </w:pPr>
            <w:r w:rsidRPr="1694455E">
              <w:rPr>
                <w:color w:val="171717" w:themeColor="background2" w:themeShade="1A"/>
                <w:sz w:val="22"/>
                <w:szCs w:val="22"/>
              </w:rPr>
              <w:t>T</w:t>
            </w:r>
            <w:commentRangeStart w:id="0"/>
            <w:r w:rsidRPr="1694455E">
              <w:rPr>
                <w:color w:val="171717" w:themeColor="background2" w:themeShade="1A"/>
                <w:sz w:val="22"/>
                <w:szCs w:val="22"/>
              </w:rPr>
              <w:t>he approval was gr</w:t>
            </w:r>
            <w:commentRangeEnd w:id="0"/>
            <w:r w:rsidRPr="1694455E">
              <w:rPr>
                <w:rStyle w:val="CommentReference"/>
                <w:color w:val="171717" w:themeColor="background2" w:themeShade="1A"/>
                <w:sz w:val="22"/>
                <w:szCs w:val="22"/>
              </w:rPr>
              <w:commentReference w:id="0"/>
            </w:r>
            <w:r w:rsidRPr="1694455E">
              <w:rPr>
                <w:color w:val="171717" w:themeColor="background2" w:themeShade="1A"/>
                <w:sz w:val="22"/>
                <w:szCs w:val="22"/>
              </w:rPr>
              <w:t xml:space="preserve">anted via the </w:t>
            </w:r>
            <w:hyperlink r:id="rId21">
              <w:r w:rsidRPr="1694455E">
                <w:rPr>
                  <w:rStyle w:val="Hyperlink"/>
                  <w:color w:val="0070C0"/>
                  <w:sz w:val="22"/>
                  <w:szCs w:val="22"/>
                </w:rPr>
                <w:t>International Recognition Procedure</w:t>
              </w:r>
            </w:hyperlink>
            <w:r w:rsidRPr="1694455E">
              <w:rPr>
                <w:color w:val="171717" w:themeColor="background2" w:themeShade="1A"/>
                <w:sz w:val="22"/>
                <w:szCs w:val="22"/>
              </w:rPr>
              <w:t>  (IRP) which allows for accelerated approval (60-110 day</w:t>
            </w:r>
            <w:r w:rsidR="005149A9" w:rsidRPr="1694455E">
              <w:rPr>
                <w:color w:val="171717" w:themeColor="background2" w:themeShade="1A"/>
                <w:sz w:val="22"/>
                <w:szCs w:val="22"/>
              </w:rPr>
              <w:t>s</w:t>
            </w:r>
            <w:r w:rsidR="00970145" w:rsidRPr="1694455E">
              <w:rPr>
                <w:color w:val="171717" w:themeColor="background2" w:themeShade="1A"/>
                <w:sz w:val="22"/>
                <w:szCs w:val="22"/>
              </w:rPr>
              <w:t xml:space="preserve"> for Recognition A</w:t>
            </w:r>
            <w:r w:rsidR="005149A9" w:rsidRPr="1694455E">
              <w:rPr>
                <w:color w:val="171717" w:themeColor="background2" w:themeShade="1A"/>
                <w:sz w:val="22"/>
                <w:szCs w:val="22"/>
              </w:rPr>
              <w:t xml:space="preserve"> or B, respectively</w:t>
            </w:r>
            <w:r w:rsidRPr="1694455E">
              <w:rPr>
                <w:color w:val="171717" w:themeColor="background2" w:themeShade="1A"/>
                <w:sz w:val="22"/>
                <w:szCs w:val="22"/>
              </w:rPr>
              <w:t>) by leveraging approvals from other regulatory agencies, such as the FDA or EMA</w:t>
            </w:r>
          </w:p>
          <w:p w14:paraId="75968F61" w14:textId="28A8241A" w:rsidR="003F1937" w:rsidRPr="001B5E7F" w:rsidRDefault="003F1937" w:rsidP="002E459C">
            <w:pPr>
              <w:pStyle w:val="ListParagraph"/>
              <w:numPr>
                <w:ilvl w:val="1"/>
                <w:numId w:val="1"/>
              </w:numPr>
              <w:rPr>
                <w:i/>
                <w:iCs/>
                <w:color w:val="0070C0"/>
                <w:sz w:val="22"/>
                <w:szCs w:val="22"/>
              </w:rPr>
            </w:pPr>
            <w:r w:rsidRPr="001B5E7F">
              <w:rPr>
                <w:i/>
                <w:iCs/>
                <w:color w:val="0070C0"/>
                <w:sz w:val="22"/>
                <w:szCs w:val="22"/>
              </w:rPr>
              <w:t xml:space="preserve">CI believes submission </w:t>
            </w:r>
            <w:r w:rsidR="00AA20E6">
              <w:rPr>
                <w:i/>
                <w:iCs/>
                <w:color w:val="0070C0"/>
                <w:sz w:val="22"/>
                <w:szCs w:val="22"/>
              </w:rPr>
              <w:t>to the</w:t>
            </w:r>
            <w:r w:rsidR="00265A02" w:rsidRPr="001B5E7F">
              <w:rPr>
                <w:i/>
                <w:iCs/>
                <w:color w:val="0070C0"/>
                <w:sz w:val="22"/>
                <w:szCs w:val="22"/>
              </w:rPr>
              <w:t xml:space="preserve"> MHRA</w:t>
            </w:r>
            <w:r w:rsidRPr="001B5E7F">
              <w:rPr>
                <w:i/>
                <w:iCs/>
                <w:color w:val="0070C0"/>
                <w:sz w:val="22"/>
                <w:szCs w:val="22"/>
              </w:rPr>
              <w:t xml:space="preserve"> </w:t>
            </w:r>
            <w:r w:rsidR="00AA20E6">
              <w:rPr>
                <w:i/>
                <w:iCs/>
                <w:color w:val="0070C0"/>
                <w:sz w:val="22"/>
                <w:szCs w:val="22"/>
              </w:rPr>
              <w:t xml:space="preserve">likely occurred </w:t>
            </w:r>
            <w:r w:rsidRPr="001B5E7F">
              <w:rPr>
                <w:i/>
                <w:iCs/>
                <w:color w:val="0070C0"/>
                <w:sz w:val="22"/>
                <w:szCs w:val="22"/>
              </w:rPr>
              <w:t>~</w:t>
            </w:r>
            <w:r w:rsidR="00F90091">
              <w:rPr>
                <w:i/>
                <w:iCs/>
                <w:color w:val="0070C0"/>
                <w:sz w:val="22"/>
                <w:szCs w:val="22"/>
              </w:rPr>
              <w:t>60</w:t>
            </w:r>
            <w:r w:rsidRPr="001B5E7F">
              <w:rPr>
                <w:i/>
                <w:iCs/>
                <w:color w:val="0070C0"/>
                <w:sz w:val="22"/>
                <w:szCs w:val="22"/>
              </w:rPr>
              <w:t xml:space="preserve"> </w:t>
            </w:r>
            <w:r w:rsidR="00186450" w:rsidRPr="001B5E7F">
              <w:rPr>
                <w:i/>
                <w:iCs/>
                <w:color w:val="0070C0"/>
                <w:sz w:val="22"/>
                <w:szCs w:val="22"/>
              </w:rPr>
              <w:t>days</w:t>
            </w:r>
            <w:r w:rsidR="008965BF">
              <w:rPr>
                <w:i/>
                <w:iCs/>
                <w:color w:val="0070C0"/>
                <w:sz w:val="22"/>
                <w:szCs w:val="22"/>
              </w:rPr>
              <w:t xml:space="preserve"> prior to approval,</w:t>
            </w:r>
            <w:r w:rsidR="00186450" w:rsidRPr="001B5E7F">
              <w:rPr>
                <w:i/>
                <w:iCs/>
                <w:color w:val="0070C0"/>
                <w:sz w:val="22"/>
                <w:szCs w:val="22"/>
              </w:rPr>
              <w:t xml:space="preserve"> </w:t>
            </w:r>
            <w:r w:rsidR="008965BF" w:rsidRPr="008965BF">
              <w:rPr>
                <w:i/>
                <w:iCs/>
                <w:color w:val="0070C0"/>
                <w:sz w:val="22"/>
                <w:szCs w:val="22"/>
              </w:rPr>
              <w:t>consistent with Recognition A, which allows eligibility based on approval by a reference regulator within the previous two years (excluding potential stop-clock periods if questions were resolved in a single review cycle)</w:t>
            </w:r>
          </w:p>
          <w:p w14:paraId="725DFF39" w14:textId="15101EBB" w:rsidR="002E6873" w:rsidRPr="0069530B" w:rsidRDefault="00133D86" w:rsidP="00217930">
            <w:pPr>
              <w:pStyle w:val="ListParagraph"/>
              <w:numPr>
                <w:ilvl w:val="2"/>
                <w:numId w:val="1"/>
              </w:numPr>
              <w:spacing w:after="160"/>
              <w:rPr>
                <w:color w:val="002060"/>
                <w:sz w:val="22"/>
                <w:szCs w:val="22"/>
              </w:rPr>
            </w:pPr>
            <w:r>
              <w:rPr>
                <w:color w:val="171717" w:themeColor="background2" w:themeShade="1A"/>
                <w:sz w:val="22"/>
                <w:szCs w:val="22"/>
              </w:rPr>
              <w:t xml:space="preserve">Recall, Leqselvi was </w:t>
            </w:r>
            <w:hyperlink r:id="rId22" w:history="1">
              <w:r w:rsidRPr="00F165C5">
                <w:rPr>
                  <w:rStyle w:val="Hyperlink"/>
                  <w:color w:val="0070C0"/>
                  <w:sz w:val="22"/>
                  <w:szCs w:val="22"/>
                </w:rPr>
                <w:t>approved</w:t>
              </w:r>
            </w:hyperlink>
            <w:r>
              <w:rPr>
                <w:color w:val="171717" w:themeColor="background2" w:themeShade="1A"/>
                <w:sz w:val="22"/>
                <w:szCs w:val="22"/>
              </w:rPr>
              <w:t xml:space="preserve"> by the FDA in </w:t>
            </w:r>
            <w:r w:rsidR="0069530B">
              <w:rPr>
                <w:color w:val="171717" w:themeColor="background2" w:themeShade="1A"/>
                <w:sz w:val="22"/>
                <w:szCs w:val="22"/>
              </w:rPr>
              <w:t>Jul</w:t>
            </w:r>
            <w:r w:rsidR="00CB0E62">
              <w:rPr>
                <w:color w:val="171717" w:themeColor="background2" w:themeShade="1A"/>
                <w:sz w:val="22"/>
                <w:szCs w:val="22"/>
              </w:rPr>
              <w:t>y</w:t>
            </w:r>
            <w:r w:rsidR="0069530B">
              <w:rPr>
                <w:color w:val="171717" w:themeColor="background2" w:themeShade="1A"/>
                <w:sz w:val="22"/>
                <w:szCs w:val="22"/>
              </w:rPr>
              <w:t xml:space="preserve"> 2024</w:t>
            </w:r>
          </w:p>
          <w:p w14:paraId="4C100CD5" w14:textId="01035E9C" w:rsidR="0069530B" w:rsidRPr="002E7636" w:rsidRDefault="001E5BF5" w:rsidP="00217930">
            <w:pPr>
              <w:pStyle w:val="ListParagraph"/>
              <w:numPr>
                <w:ilvl w:val="0"/>
                <w:numId w:val="1"/>
              </w:numPr>
              <w:spacing w:after="160"/>
              <w:rPr>
                <w:color w:val="002060"/>
                <w:sz w:val="22"/>
                <w:szCs w:val="22"/>
              </w:rPr>
            </w:pPr>
            <w:r w:rsidRPr="1694455E">
              <w:rPr>
                <w:color w:val="171717" w:themeColor="background2" w:themeShade="1A"/>
                <w:sz w:val="22"/>
                <w:szCs w:val="22"/>
              </w:rPr>
              <w:t>Outside UK</w:t>
            </w:r>
            <w:r w:rsidR="004D2A9F" w:rsidRPr="1694455E">
              <w:rPr>
                <w:color w:val="171717" w:themeColor="background2" w:themeShade="1A"/>
                <w:sz w:val="22"/>
                <w:szCs w:val="22"/>
              </w:rPr>
              <w:t>, r</w:t>
            </w:r>
            <w:r w:rsidR="00804CB7" w:rsidRPr="1694455E">
              <w:rPr>
                <w:color w:val="171717" w:themeColor="background2" w:themeShade="1A"/>
                <w:sz w:val="22"/>
                <w:szCs w:val="22"/>
              </w:rPr>
              <w:t xml:space="preserve">egulatory </w:t>
            </w:r>
            <w:r w:rsidR="00804CB7" w:rsidRPr="00022C2C">
              <w:rPr>
                <w:b/>
                <w:bCs/>
                <w:color w:val="171717" w:themeColor="background2" w:themeShade="1A"/>
                <w:sz w:val="22"/>
                <w:szCs w:val="22"/>
              </w:rPr>
              <w:t>submission</w:t>
            </w:r>
            <w:r w:rsidR="00D87631" w:rsidRPr="00022C2C">
              <w:rPr>
                <w:b/>
                <w:bCs/>
                <w:color w:val="171717" w:themeColor="background2" w:themeShade="1A"/>
                <w:sz w:val="22"/>
                <w:szCs w:val="22"/>
              </w:rPr>
              <w:t>s</w:t>
            </w:r>
            <w:r w:rsidR="00804CB7" w:rsidRPr="00022C2C">
              <w:rPr>
                <w:b/>
                <w:bCs/>
                <w:color w:val="171717" w:themeColor="background2" w:themeShade="1A"/>
                <w:sz w:val="22"/>
                <w:szCs w:val="22"/>
              </w:rPr>
              <w:t xml:space="preserve"> for Leqselvi for AA have been confirmed in </w:t>
            </w:r>
            <w:hyperlink r:id="rId23">
              <w:r w:rsidR="00804CB7" w:rsidRPr="00022C2C">
                <w:rPr>
                  <w:rStyle w:val="Hyperlink"/>
                  <w:b/>
                  <w:bCs/>
                  <w:color w:val="0070C0"/>
                  <w:sz w:val="22"/>
                  <w:szCs w:val="22"/>
                </w:rPr>
                <w:t>Canada</w:t>
              </w:r>
            </w:hyperlink>
            <w:r w:rsidR="00CB0E62" w:rsidRPr="00022C2C">
              <w:rPr>
                <w:b/>
                <w:bCs/>
                <w:color w:val="171717" w:themeColor="background2" w:themeShade="1A"/>
                <w:sz w:val="22"/>
                <w:szCs w:val="22"/>
              </w:rPr>
              <w:t xml:space="preserve"> (submission </w:t>
            </w:r>
            <w:r w:rsidR="004071CB" w:rsidRPr="00022C2C">
              <w:rPr>
                <w:b/>
                <w:bCs/>
                <w:color w:val="171717" w:themeColor="background2" w:themeShade="1A"/>
                <w:sz w:val="22"/>
                <w:szCs w:val="22"/>
              </w:rPr>
              <w:t>in</w:t>
            </w:r>
            <w:r w:rsidR="00CB0E62" w:rsidRPr="00022C2C">
              <w:rPr>
                <w:b/>
                <w:bCs/>
                <w:color w:val="171717" w:themeColor="background2" w:themeShade="1A"/>
                <w:sz w:val="22"/>
                <w:szCs w:val="22"/>
              </w:rPr>
              <w:t xml:space="preserve"> December 2025)</w:t>
            </w:r>
            <w:r w:rsidR="00804CB7" w:rsidRPr="00022C2C">
              <w:rPr>
                <w:b/>
                <w:bCs/>
                <w:color w:val="171717" w:themeColor="background2" w:themeShade="1A"/>
                <w:sz w:val="22"/>
                <w:szCs w:val="22"/>
              </w:rPr>
              <w:t xml:space="preserve"> and </w:t>
            </w:r>
            <w:hyperlink r:id="rId24">
              <w:r w:rsidR="004D2A9F" w:rsidRPr="00022C2C">
                <w:rPr>
                  <w:rStyle w:val="Hyperlink"/>
                  <w:b/>
                  <w:bCs/>
                  <w:color w:val="0070C0"/>
                  <w:sz w:val="22"/>
                  <w:szCs w:val="22"/>
                </w:rPr>
                <w:t>EU</w:t>
              </w:r>
            </w:hyperlink>
            <w:r w:rsidR="00ED65DC" w:rsidRPr="00022C2C">
              <w:rPr>
                <w:b/>
                <w:bCs/>
                <w:color w:val="171717" w:themeColor="background2" w:themeShade="1A"/>
                <w:sz w:val="22"/>
                <w:szCs w:val="22"/>
              </w:rPr>
              <w:t xml:space="preserve"> (</w:t>
            </w:r>
            <w:r w:rsidR="003906CB" w:rsidRPr="00022C2C">
              <w:rPr>
                <w:b/>
                <w:bCs/>
                <w:color w:val="171717" w:themeColor="background2" w:themeShade="1A"/>
                <w:sz w:val="22"/>
                <w:szCs w:val="22"/>
              </w:rPr>
              <w:t>start of evaluation procedure February 26, 2026)</w:t>
            </w:r>
            <w:r w:rsidR="00ED65DC" w:rsidRPr="1694455E">
              <w:rPr>
                <w:color w:val="171717" w:themeColor="background2" w:themeShade="1A"/>
                <w:sz w:val="22"/>
                <w:szCs w:val="22"/>
              </w:rPr>
              <w:t xml:space="preserve"> </w:t>
            </w:r>
          </w:p>
          <w:p w14:paraId="6E3F60E7" w14:textId="783A5D34" w:rsidR="002E7636" w:rsidRPr="00F165C5" w:rsidRDefault="002E7636" w:rsidP="00217930">
            <w:pPr>
              <w:pStyle w:val="ListParagraph"/>
              <w:numPr>
                <w:ilvl w:val="1"/>
                <w:numId w:val="1"/>
              </w:numPr>
              <w:spacing w:after="160"/>
              <w:rPr>
                <w:i/>
                <w:iCs/>
                <w:color w:val="0070C0"/>
                <w:sz w:val="22"/>
                <w:szCs w:val="22"/>
              </w:rPr>
            </w:pPr>
            <w:r w:rsidRPr="00F165C5">
              <w:rPr>
                <w:i/>
                <w:iCs/>
                <w:color w:val="0070C0"/>
                <w:sz w:val="22"/>
                <w:szCs w:val="22"/>
              </w:rPr>
              <w:t>CI estimates EU</w:t>
            </w:r>
            <w:r w:rsidR="00F934F9">
              <w:rPr>
                <w:i/>
                <w:iCs/>
                <w:color w:val="0070C0"/>
                <w:sz w:val="22"/>
                <w:szCs w:val="22"/>
              </w:rPr>
              <w:t xml:space="preserve"> </w:t>
            </w:r>
            <w:r w:rsidR="00205D74">
              <w:rPr>
                <w:i/>
                <w:iCs/>
                <w:color w:val="0070C0"/>
                <w:sz w:val="22"/>
                <w:szCs w:val="22"/>
              </w:rPr>
              <w:t>approval</w:t>
            </w:r>
            <w:r w:rsidRPr="00F165C5">
              <w:rPr>
                <w:i/>
                <w:iCs/>
                <w:color w:val="0070C0"/>
                <w:sz w:val="22"/>
                <w:szCs w:val="22"/>
              </w:rPr>
              <w:t xml:space="preserve"> in </w:t>
            </w:r>
            <w:r w:rsidR="00F165C5" w:rsidRPr="00F165C5">
              <w:rPr>
                <w:i/>
                <w:iCs/>
                <w:color w:val="0070C0"/>
                <w:sz w:val="22"/>
                <w:szCs w:val="22"/>
              </w:rPr>
              <w:t>Q4 2026</w:t>
            </w:r>
          </w:p>
          <w:p w14:paraId="6CA81F79" w14:textId="6CDB3F46" w:rsidR="002E6873" w:rsidRPr="002E6873" w:rsidRDefault="00B533F9" w:rsidP="002E459C">
            <w:pPr>
              <w:rPr>
                <w:b/>
                <w:bCs/>
                <w:color w:val="002060"/>
                <w:sz w:val="28"/>
                <w:szCs w:val="28"/>
              </w:rPr>
            </w:pPr>
            <w:r>
              <w:rPr>
                <w:b/>
                <w:bCs/>
                <w:color w:val="002060"/>
                <w:sz w:val="28"/>
                <w:szCs w:val="28"/>
              </w:rPr>
              <w:t>Tell me more</w:t>
            </w:r>
            <w:r w:rsidR="002E6873" w:rsidRPr="002E6873">
              <w:rPr>
                <w:b/>
                <w:bCs/>
                <w:color w:val="002060"/>
                <w:sz w:val="28"/>
                <w:szCs w:val="28"/>
              </w:rPr>
              <w:t>:</w:t>
            </w:r>
          </w:p>
          <w:p w14:paraId="08CC519B" w14:textId="509EBDBD" w:rsidR="002E6873" w:rsidRPr="00025AB5" w:rsidRDefault="00025AB5" w:rsidP="00217930">
            <w:pPr>
              <w:pStyle w:val="ListParagraph"/>
              <w:numPr>
                <w:ilvl w:val="0"/>
                <w:numId w:val="1"/>
              </w:numPr>
              <w:spacing w:after="160"/>
              <w:rPr>
                <w:color w:val="171717" w:themeColor="background2" w:themeShade="1A"/>
                <w:sz w:val="22"/>
                <w:szCs w:val="22"/>
              </w:rPr>
            </w:pPr>
            <w:r>
              <w:rPr>
                <w:color w:val="171717" w:themeColor="background2" w:themeShade="1A"/>
                <w:sz w:val="22"/>
                <w:szCs w:val="22"/>
              </w:rPr>
              <w:t xml:space="preserve">Leqselvi’s approval </w:t>
            </w:r>
            <w:r w:rsidRPr="00025AB5">
              <w:rPr>
                <w:color w:val="171717" w:themeColor="background2" w:themeShade="1A"/>
                <w:sz w:val="22"/>
                <w:szCs w:val="22"/>
              </w:rPr>
              <w:t xml:space="preserve">is based on the results from </w:t>
            </w:r>
            <w:r w:rsidRPr="00025AB5">
              <w:rPr>
                <w:rFonts w:eastAsia="Aptos" w:cs="Calibri"/>
                <w:sz w:val="22"/>
                <w:szCs w:val="22"/>
              </w:rPr>
              <w:t xml:space="preserve">Phase 3 </w:t>
            </w:r>
            <w:hyperlink r:id="rId25">
              <w:r w:rsidRPr="00025AB5">
                <w:rPr>
                  <w:rFonts w:eastAsia="Aptos" w:cs="Calibri"/>
                  <w:color w:val="0070C0"/>
                  <w:sz w:val="22"/>
                  <w:szCs w:val="22"/>
                  <w:u w:val="single"/>
                </w:rPr>
                <w:t>THRIVE-AA1</w:t>
              </w:r>
            </w:hyperlink>
            <w:r w:rsidRPr="00025AB5">
              <w:rPr>
                <w:rFonts w:eastAsia="Aptos" w:cs="Calibri"/>
                <w:sz w:val="22"/>
                <w:szCs w:val="22"/>
              </w:rPr>
              <w:t xml:space="preserve"> and </w:t>
            </w:r>
            <w:hyperlink r:id="rId26" w:history="1">
              <w:r w:rsidRPr="00025AB5">
                <w:rPr>
                  <w:rStyle w:val="Hyperlink"/>
                  <w:rFonts w:eastAsia="Aptos" w:cs="Calibri"/>
                  <w:color w:val="0070C0"/>
                  <w:sz w:val="22"/>
                  <w:szCs w:val="22"/>
                </w:rPr>
                <w:t>THRIVE-AA2</w:t>
              </w:r>
            </w:hyperlink>
            <w:r w:rsidRPr="00025AB5">
              <w:rPr>
                <w:color w:val="171717" w:themeColor="background2" w:themeShade="1A"/>
                <w:sz w:val="22"/>
                <w:szCs w:val="22"/>
              </w:rPr>
              <w:t xml:space="preserve"> trials</w:t>
            </w:r>
          </w:p>
          <w:p w14:paraId="70271920" w14:textId="77777777" w:rsidR="00510DAE" w:rsidRPr="00510DAE" w:rsidRDefault="00510DAE" w:rsidP="00217930">
            <w:pPr>
              <w:pStyle w:val="ListParagraph"/>
              <w:numPr>
                <w:ilvl w:val="0"/>
                <w:numId w:val="1"/>
              </w:numPr>
              <w:spacing w:after="160"/>
              <w:rPr>
                <w:color w:val="002060"/>
                <w:sz w:val="22"/>
                <w:szCs w:val="22"/>
              </w:rPr>
            </w:pPr>
            <w:r>
              <w:rPr>
                <w:color w:val="171717" w:themeColor="background2" w:themeShade="1A"/>
                <w:sz w:val="22"/>
                <w:szCs w:val="22"/>
              </w:rPr>
              <w:t>Trial Design:</w:t>
            </w:r>
          </w:p>
          <w:p w14:paraId="21636979" w14:textId="490C7437" w:rsidR="002E6873" w:rsidRDefault="00510DAE" w:rsidP="002E459C">
            <w:pPr>
              <w:pStyle w:val="ListParagraph"/>
              <w:numPr>
                <w:ilvl w:val="1"/>
                <w:numId w:val="1"/>
              </w:numPr>
              <w:rPr>
                <w:sz w:val="22"/>
                <w:szCs w:val="22"/>
              </w:rPr>
            </w:pPr>
            <w:r w:rsidRPr="00312686">
              <w:rPr>
                <w:sz w:val="22"/>
                <w:szCs w:val="22"/>
              </w:rPr>
              <w:lastRenderedPageBreak/>
              <w:t>The trials enrolled a total of 1,22</w:t>
            </w:r>
            <w:r w:rsidR="00C448E9">
              <w:rPr>
                <w:sz w:val="22"/>
                <w:szCs w:val="22"/>
              </w:rPr>
              <w:t>3</w:t>
            </w:r>
            <w:r w:rsidRPr="00312686">
              <w:rPr>
                <w:sz w:val="22"/>
                <w:szCs w:val="22"/>
              </w:rPr>
              <w:t xml:space="preserve"> patients with AA who had at least 50% scalp hair loss as measured by Severity of Alopecia Tool (SALT) for more than six months</w:t>
            </w:r>
          </w:p>
          <w:p w14:paraId="1DFE279F" w14:textId="7A3AAF5E" w:rsidR="00372D1B" w:rsidRPr="00312686" w:rsidRDefault="00372D1B" w:rsidP="002E459C">
            <w:pPr>
              <w:pStyle w:val="ListParagraph"/>
              <w:numPr>
                <w:ilvl w:val="1"/>
                <w:numId w:val="1"/>
              </w:numPr>
              <w:rPr>
                <w:sz w:val="22"/>
                <w:szCs w:val="22"/>
              </w:rPr>
            </w:pPr>
            <w:r w:rsidRPr="00372D1B">
              <w:rPr>
                <w:sz w:val="22"/>
                <w:szCs w:val="22"/>
              </w:rPr>
              <w:t>In both trials, subjects received either Leqselvi 8 mg</w:t>
            </w:r>
            <w:r>
              <w:rPr>
                <w:sz w:val="22"/>
                <w:szCs w:val="22"/>
              </w:rPr>
              <w:t xml:space="preserve"> /</w:t>
            </w:r>
            <w:r w:rsidRPr="00372D1B">
              <w:rPr>
                <w:sz w:val="22"/>
                <w:szCs w:val="22"/>
              </w:rPr>
              <w:t>12 mg or a placebo for 24 weeks</w:t>
            </w:r>
            <w:r>
              <w:rPr>
                <w:sz w:val="22"/>
                <w:szCs w:val="22"/>
              </w:rPr>
              <w:t>, BID</w:t>
            </w:r>
          </w:p>
          <w:p w14:paraId="6DD8097A" w14:textId="13CBD6C7" w:rsidR="00510DAE" w:rsidRPr="00312686" w:rsidRDefault="00312686" w:rsidP="002E459C">
            <w:pPr>
              <w:pStyle w:val="ListParagraph"/>
              <w:numPr>
                <w:ilvl w:val="1"/>
                <w:numId w:val="1"/>
              </w:numPr>
              <w:rPr>
                <w:sz w:val="22"/>
                <w:szCs w:val="22"/>
              </w:rPr>
            </w:pPr>
            <w:r w:rsidRPr="00312686">
              <w:rPr>
                <w:sz w:val="22"/>
                <w:szCs w:val="22"/>
              </w:rPr>
              <w:t>Primary endpoint: SALT≤20 at week 24</w:t>
            </w:r>
          </w:p>
          <w:p w14:paraId="7E40AD42" w14:textId="64F37B5C" w:rsidR="00312686" w:rsidRPr="00836625" w:rsidRDefault="00836625" w:rsidP="002E459C">
            <w:pPr>
              <w:pStyle w:val="ListParagraph"/>
              <w:numPr>
                <w:ilvl w:val="0"/>
                <w:numId w:val="1"/>
              </w:numPr>
              <w:rPr>
                <w:sz w:val="22"/>
                <w:szCs w:val="22"/>
              </w:rPr>
            </w:pPr>
            <w:r w:rsidRPr="00836625">
              <w:rPr>
                <w:sz w:val="22"/>
                <w:szCs w:val="22"/>
              </w:rPr>
              <w:t>Efficacy:</w:t>
            </w:r>
          </w:p>
          <w:p w14:paraId="69CC7953" w14:textId="0888E763" w:rsidR="000D3533" w:rsidRPr="00C34B27" w:rsidRDefault="00836625" w:rsidP="002E459C">
            <w:pPr>
              <w:pStyle w:val="ListParagraph"/>
              <w:numPr>
                <w:ilvl w:val="1"/>
                <w:numId w:val="1"/>
              </w:numPr>
              <w:rPr>
                <w:sz w:val="22"/>
                <w:szCs w:val="22"/>
              </w:rPr>
            </w:pPr>
            <w:r w:rsidRPr="00C34B27">
              <w:rPr>
                <w:sz w:val="22"/>
                <w:szCs w:val="22"/>
              </w:rPr>
              <w:t xml:space="preserve">At week 24, </w:t>
            </w:r>
            <w:r w:rsidR="002013FD">
              <w:rPr>
                <w:sz w:val="22"/>
                <w:szCs w:val="22"/>
              </w:rPr>
              <w:t>~</w:t>
            </w:r>
            <w:r w:rsidRPr="00C34B27">
              <w:rPr>
                <w:sz w:val="22"/>
                <w:szCs w:val="22"/>
              </w:rPr>
              <w:t>30% patients achieved SALT≤20</w:t>
            </w:r>
            <w:r w:rsidR="000D3533" w:rsidRPr="00C34B27">
              <w:rPr>
                <w:sz w:val="22"/>
                <w:szCs w:val="22"/>
              </w:rPr>
              <w:t xml:space="preserve"> </w:t>
            </w:r>
            <w:r w:rsidR="00A30B42" w:rsidRPr="00C34B27">
              <w:rPr>
                <w:sz w:val="22"/>
                <w:szCs w:val="22"/>
              </w:rPr>
              <w:t xml:space="preserve">and </w:t>
            </w:r>
            <w:r w:rsidR="00372D1B" w:rsidRPr="00C34B27">
              <w:rPr>
                <w:sz w:val="22"/>
                <w:szCs w:val="22"/>
              </w:rPr>
              <w:t>~23%</w:t>
            </w:r>
            <w:r w:rsidR="000D3533" w:rsidRPr="00C34B27">
              <w:rPr>
                <w:sz w:val="22"/>
                <w:szCs w:val="22"/>
              </w:rPr>
              <w:t xml:space="preserve"> of patients achieved SALT≤10 </w:t>
            </w:r>
          </w:p>
          <w:p w14:paraId="7FCE5D36" w14:textId="329CCEFB" w:rsidR="002F3679" w:rsidRDefault="002F3679" w:rsidP="002E459C">
            <w:pPr>
              <w:pStyle w:val="ListParagraph"/>
              <w:numPr>
                <w:ilvl w:val="0"/>
                <w:numId w:val="1"/>
              </w:numPr>
              <w:rPr>
                <w:sz w:val="22"/>
                <w:szCs w:val="22"/>
              </w:rPr>
            </w:pPr>
            <w:r>
              <w:rPr>
                <w:sz w:val="22"/>
                <w:szCs w:val="22"/>
              </w:rPr>
              <w:t>Safety:</w:t>
            </w:r>
          </w:p>
          <w:p w14:paraId="6F63F22F" w14:textId="77FA1B27" w:rsidR="002E6873" w:rsidRPr="00093C38" w:rsidRDefault="00AF2881" w:rsidP="002E459C">
            <w:pPr>
              <w:pStyle w:val="ListParagraph"/>
              <w:numPr>
                <w:ilvl w:val="1"/>
                <w:numId w:val="1"/>
              </w:numPr>
              <w:rPr>
                <w:sz w:val="22"/>
                <w:szCs w:val="22"/>
              </w:rPr>
            </w:pPr>
            <w:r w:rsidRPr="00B67E2F">
              <w:rPr>
                <w:sz w:val="22"/>
                <w:szCs w:val="22"/>
              </w:rPr>
              <w:t xml:space="preserve">Most </w:t>
            </w:r>
            <w:r w:rsidR="00B67E2F" w:rsidRPr="00B67E2F">
              <w:rPr>
                <w:sz w:val="22"/>
                <w:szCs w:val="22"/>
              </w:rPr>
              <w:t xml:space="preserve">common side effects (which may affect more than 1 in 10 people) </w:t>
            </w:r>
            <w:r w:rsidR="0086594E">
              <w:rPr>
                <w:sz w:val="22"/>
                <w:szCs w:val="22"/>
              </w:rPr>
              <w:t>are</w:t>
            </w:r>
            <w:r w:rsidR="0086594E" w:rsidRPr="00B67E2F">
              <w:rPr>
                <w:sz w:val="22"/>
                <w:szCs w:val="22"/>
              </w:rPr>
              <w:t xml:space="preserve"> </w:t>
            </w:r>
            <w:r w:rsidR="00B67E2F" w:rsidRPr="00B67E2F">
              <w:rPr>
                <w:sz w:val="22"/>
                <w:szCs w:val="22"/>
              </w:rPr>
              <w:t>headache and acne</w:t>
            </w:r>
          </w:p>
          <w:p w14:paraId="726BF702" w14:textId="77777777" w:rsidR="00D572E4" w:rsidRDefault="00D572E4" w:rsidP="002E6873">
            <w:pPr>
              <w:rPr>
                <w:b/>
                <w:bCs/>
                <w:color w:val="002060"/>
                <w:sz w:val="22"/>
                <w:szCs w:val="22"/>
              </w:rPr>
            </w:pPr>
          </w:p>
          <w:p w14:paraId="23444655" w14:textId="77777777" w:rsidR="00B66789" w:rsidRDefault="00B66789" w:rsidP="00B66789">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B66789" w:rsidRPr="00D5078E" w14:paraId="694A1440" w14:textId="77777777" w:rsidTr="00933BD4">
              <w:trPr>
                <w:trHeight w:val="330"/>
                <w:jc w:val="center"/>
              </w:trPr>
              <w:tc>
                <w:tcPr>
                  <w:tcW w:w="2660" w:type="dxa"/>
                  <w:shd w:val="clear" w:color="auto" w:fill="002060"/>
                  <w:tcMar>
                    <w:left w:w="105" w:type="dxa"/>
                    <w:right w:w="105" w:type="dxa"/>
                  </w:tcMar>
                </w:tcPr>
                <w:p w14:paraId="0D4B0086" w14:textId="77777777" w:rsidR="00B66789" w:rsidRPr="00D5078E" w:rsidRDefault="00B66789" w:rsidP="00B66789">
                  <w:pPr>
                    <w:rPr>
                      <w:rFonts w:ascii="Aptos" w:eastAsia="Aptos" w:hAnsi="Aptos" w:cs="Aptos"/>
                      <w:sz w:val="22"/>
                      <w:szCs w:val="22"/>
                    </w:rPr>
                  </w:pPr>
                </w:p>
              </w:tc>
              <w:tc>
                <w:tcPr>
                  <w:tcW w:w="1880" w:type="dxa"/>
                  <w:shd w:val="clear" w:color="auto" w:fill="002060"/>
                  <w:tcMar>
                    <w:left w:w="105" w:type="dxa"/>
                    <w:right w:w="105" w:type="dxa"/>
                  </w:tcMar>
                </w:tcPr>
                <w:p w14:paraId="115FDFC3"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617EF78"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7F4A87D6"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B66789" w:rsidRPr="00D5078E" w14:paraId="1B00FF45" w14:textId="77777777" w:rsidTr="00933BD4">
              <w:trPr>
                <w:trHeight w:val="330"/>
                <w:jc w:val="center"/>
              </w:trPr>
              <w:tc>
                <w:tcPr>
                  <w:tcW w:w="2660" w:type="dxa"/>
                  <w:tcMar>
                    <w:left w:w="105" w:type="dxa"/>
                    <w:right w:w="105" w:type="dxa"/>
                  </w:tcMar>
                </w:tcPr>
                <w:p w14:paraId="59F7D0A9"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130CD570" w14:textId="77777777" w:rsidR="00B66789" w:rsidRPr="00296DAA" w:rsidRDefault="00B66789" w:rsidP="00B66789">
                  <w:pPr>
                    <w:rPr>
                      <w:rFonts w:ascii="Aptos" w:eastAsia="Aptos" w:hAnsi="Aptos" w:cs="Aptos"/>
                      <w:color w:val="0070C0"/>
                      <w:sz w:val="22"/>
                      <w:szCs w:val="22"/>
                    </w:rPr>
                  </w:pPr>
                  <w:hyperlink r:id="rId27">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6E64EEB2" w14:textId="77777777" w:rsidR="00B66789" w:rsidRPr="00296DAA" w:rsidRDefault="00B66789" w:rsidP="00B66789">
                  <w:pPr>
                    <w:rPr>
                      <w:rFonts w:ascii="Aptos" w:eastAsia="Aptos" w:hAnsi="Aptos" w:cs="Aptos"/>
                      <w:color w:val="0070C0"/>
                      <w:sz w:val="22"/>
                      <w:szCs w:val="22"/>
                    </w:rPr>
                  </w:pPr>
                  <w:hyperlink r:id="rId28"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312607AB" w14:textId="77777777" w:rsidR="00B66789" w:rsidRPr="00296DAA" w:rsidRDefault="00B66789" w:rsidP="00B66789">
                  <w:pPr>
                    <w:rPr>
                      <w:rFonts w:ascii="Aptos" w:eastAsia="Aptos" w:hAnsi="Aptos" w:cs="Aptos"/>
                      <w:color w:val="0070C0"/>
                      <w:sz w:val="22"/>
                      <w:szCs w:val="22"/>
                    </w:rPr>
                  </w:pPr>
                  <w:hyperlink r:id="rId29">
                    <w:r w:rsidRPr="00296DAA">
                      <w:rPr>
                        <w:rStyle w:val="Hyperlink"/>
                        <w:rFonts w:ascii="Aptos" w:eastAsia="Aptos" w:hAnsi="Aptos" w:cs="Aptos"/>
                        <w:color w:val="0070C0"/>
                        <w:sz w:val="22"/>
                        <w:szCs w:val="22"/>
                      </w:rPr>
                      <w:t>Luke Versten</w:t>
                    </w:r>
                  </w:hyperlink>
                </w:p>
              </w:tc>
            </w:tr>
            <w:tr w:rsidR="00B66789" w:rsidRPr="00D5078E" w14:paraId="73CA57DB" w14:textId="77777777" w:rsidTr="00933BD4">
              <w:trPr>
                <w:trHeight w:val="195"/>
                <w:jc w:val="center"/>
              </w:trPr>
              <w:tc>
                <w:tcPr>
                  <w:tcW w:w="2660" w:type="dxa"/>
                  <w:tcMar>
                    <w:left w:w="105" w:type="dxa"/>
                    <w:right w:w="105" w:type="dxa"/>
                  </w:tcMar>
                </w:tcPr>
                <w:p w14:paraId="104DACDF"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0EEDA056" w14:textId="77777777" w:rsidR="00B66789" w:rsidRPr="00296DAA" w:rsidRDefault="00B66789" w:rsidP="00B66789">
                  <w:pPr>
                    <w:rPr>
                      <w:rFonts w:ascii="Aptos" w:eastAsia="Aptos" w:hAnsi="Aptos" w:cs="Aptos"/>
                      <w:color w:val="0070C0"/>
                      <w:sz w:val="22"/>
                      <w:szCs w:val="22"/>
                    </w:rPr>
                  </w:pPr>
                  <w:hyperlink r:id="rId30">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4D2CB4FE" w14:textId="77777777" w:rsidR="00B66789" w:rsidRPr="00296DAA" w:rsidRDefault="00B66789" w:rsidP="00B66789">
                  <w:pPr>
                    <w:rPr>
                      <w:rFonts w:ascii="Aptos" w:eastAsia="Aptos" w:hAnsi="Aptos" w:cs="Aptos"/>
                      <w:color w:val="0070C0"/>
                      <w:sz w:val="22"/>
                      <w:szCs w:val="22"/>
                    </w:rPr>
                  </w:pPr>
                  <w:hyperlink r:id="rId31">
                    <w:r w:rsidRPr="00296DAA">
                      <w:rPr>
                        <w:rStyle w:val="Hyperlink"/>
                        <w:rFonts w:ascii="Aptos" w:eastAsia="Aptos" w:hAnsi="Aptos" w:cs="Aptos"/>
                        <w:color w:val="0070C0"/>
                        <w:sz w:val="22"/>
                        <w:szCs w:val="22"/>
                      </w:rPr>
                      <w:t>Irene Knorn</w:t>
                    </w:r>
                  </w:hyperlink>
                  <w:r w:rsidRPr="00296DAA">
                    <w:rPr>
                      <w:rFonts w:ascii="Aptos" w:eastAsia="Aptos" w:hAnsi="Aptos" w:cs="Aptos"/>
                      <w:color w:val="0070C0"/>
                      <w:sz w:val="22"/>
                      <w:szCs w:val="22"/>
                      <w:u w:val="single"/>
                    </w:rPr>
                    <w:t> </w:t>
                  </w:r>
                </w:p>
              </w:tc>
              <w:tc>
                <w:tcPr>
                  <w:tcW w:w="2415" w:type="dxa"/>
                  <w:tcMar>
                    <w:left w:w="105" w:type="dxa"/>
                    <w:right w:w="105" w:type="dxa"/>
                  </w:tcMar>
                </w:tcPr>
                <w:p w14:paraId="4728657D" w14:textId="77777777" w:rsidR="00B66789" w:rsidRPr="00296DAA" w:rsidRDefault="00B66789" w:rsidP="00B66789">
                  <w:pPr>
                    <w:rPr>
                      <w:rFonts w:ascii="Aptos" w:eastAsia="Aptos" w:hAnsi="Aptos" w:cs="Aptos"/>
                      <w:color w:val="0070C0"/>
                      <w:sz w:val="22"/>
                      <w:szCs w:val="22"/>
                    </w:rPr>
                  </w:pPr>
                  <w:hyperlink r:id="rId32">
                    <w:r w:rsidRPr="00296DAA">
                      <w:rPr>
                        <w:rStyle w:val="Hyperlink"/>
                        <w:rFonts w:ascii="Aptos" w:eastAsia="Aptos" w:hAnsi="Aptos" w:cs="Aptos"/>
                        <w:color w:val="0070C0"/>
                        <w:sz w:val="22"/>
                        <w:szCs w:val="22"/>
                      </w:rPr>
                      <w:t>Priti Anand</w:t>
                    </w:r>
                  </w:hyperlink>
                </w:p>
              </w:tc>
            </w:tr>
          </w:tbl>
          <w:p w14:paraId="3BEEB87C" w14:textId="77777777" w:rsidR="00B66789" w:rsidRDefault="00B66789" w:rsidP="002E6873">
            <w:pPr>
              <w:rPr>
                <w:b/>
                <w:bCs/>
                <w:color w:val="002060"/>
                <w:sz w:val="22"/>
                <w:szCs w:val="22"/>
              </w:rPr>
            </w:pPr>
          </w:p>
          <w:p w14:paraId="12CBCE83" w14:textId="77777777" w:rsidR="00331521" w:rsidRPr="00331521" w:rsidRDefault="00331521" w:rsidP="00331521">
            <w:pPr>
              <w:keepNext/>
              <w:rPr>
                <w:rFonts w:eastAsia="Aptos" w:cs="Aptos"/>
                <w:color w:val="000000" w:themeColor="text1"/>
                <w:sz w:val="22"/>
                <w:szCs w:val="22"/>
              </w:rPr>
            </w:pPr>
            <w:hyperlink r:id="rId33">
              <w:r w:rsidRPr="00331521">
                <w:rPr>
                  <w:rStyle w:val="Hyperlink"/>
                  <w:rFonts w:eastAsia="Aptos" w:cs="Aptos"/>
                  <w:color w:val="0563C1"/>
                  <w:sz w:val="22"/>
                  <w:szCs w:val="22"/>
                </w:rPr>
                <w:t>Invite your colleagues to inVision</w:t>
              </w:r>
            </w:hyperlink>
            <w:r w:rsidRPr="00331521">
              <w:rPr>
                <w:rStyle w:val="normaltextrun"/>
                <w:rFonts w:eastAsia="Aptos" w:cs="Aptos"/>
                <w:color w:val="0070C0"/>
                <w:sz w:val="22"/>
                <w:szCs w:val="22"/>
              </w:rPr>
              <w:t> | </w:t>
            </w:r>
            <w:hyperlink r:id="rId34">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35">
              <w:r w:rsidRPr="00331521">
                <w:rPr>
                  <w:rStyle w:val="Hyperlink"/>
                  <w:rFonts w:eastAsia="Aptos" w:cs="Aptos"/>
                  <w:color w:val="0563C1"/>
                  <w:sz w:val="22"/>
                  <w:szCs w:val="22"/>
                </w:rPr>
                <w:t>Unsubscribe</w:t>
              </w:r>
            </w:hyperlink>
          </w:p>
          <w:p w14:paraId="32207C10" w14:textId="77777777" w:rsidR="00B66789" w:rsidRDefault="00B66789" w:rsidP="002E6873">
            <w:pPr>
              <w:rPr>
                <w:b/>
                <w:bCs/>
                <w:color w:val="002060"/>
                <w:sz w:val="22"/>
                <w:szCs w:val="22"/>
              </w:rPr>
            </w:pPr>
          </w:p>
          <w:p w14:paraId="1334539E" w14:textId="0B94AF9E" w:rsidR="00B66789" w:rsidRPr="003F7618" w:rsidRDefault="006A6CD3" w:rsidP="002E6873">
            <w:pPr>
              <w:rPr>
                <w:i/>
                <w:iCs/>
                <w:color w:val="002060"/>
                <w:sz w:val="20"/>
                <w:szCs w:val="20"/>
              </w:rPr>
            </w:pPr>
            <w:r w:rsidRPr="001972A4">
              <w:rPr>
                <w:i/>
                <w:iCs/>
                <w:color w:val="171717" w:themeColor="background2" w:themeShade="1A"/>
                <w:sz w:val="20"/>
                <w:szCs w:val="20"/>
              </w:rPr>
              <w:t xml:space="preserve">This </w:t>
            </w:r>
            <w:r w:rsidR="002C2D65" w:rsidRPr="002C2D65">
              <w:rPr>
                <w:i/>
                <w:iCs/>
                <w:color w:val="171717" w:themeColor="background2" w:themeShade="1A"/>
                <w:sz w:val="20"/>
                <w:szCs w:val="20"/>
              </w:rPr>
              <w:t>document contains competitive intelligence collected via AbbVie approved methods or vendors. We collect competitive intelligence consistent with industry standards and AbbVie policy. Not for commercial field use. Please reach out to CI, Legal or OEC with any questions</w:t>
            </w:r>
            <w:r w:rsidRPr="001972A4">
              <w:rPr>
                <w:i/>
                <w:iCs/>
                <w:color w:val="171717" w:themeColor="background2" w:themeShade="1A"/>
                <w:sz w:val="20"/>
                <w:szCs w:val="20"/>
              </w:rPr>
              <w:t>.</w:t>
            </w:r>
          </w:p>
        </w:tc>
      </w:tr>
    </w:tbl>
    <w:p w14:paraId="0E3E94FF" w14:textId="77777777" w:rsidR="00E76886" w:rsidRDefault="00E76886"/>
    <w:sectPr w:rsidR="00E76886" w:rsidSect="001572B1">
      <w:pgSz w:w="12240" w:h="15840"/>
      <w:pgMar w:top="720" w:right="1440" w:bottom="72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mna Jhamb" w:date="2026-03-12T12:53:00Z" w:initials="KJ">
    <w:p w14:paraId="498835A9" w14:textId="3A046D2F" w:rsidR="00000000" w:rsidRDefault="00000000">
      <w:pPr>
        <w:pStyle w:val="CommentText"/>
      </w:pPr>
      <w:r>
        <w:rPr>
          <w:rStyle w:val="CommentReference"/>
        </w:rPr>
        <w:annotationRef/>
      </w:r>
      <w:r w:rsidRPr="49657BB3">
        <w:t xml:space="preserve">Hi Priti, the MHRA press release mentions approval under IRP procedure, so have listed 60-110 days submission timelines here. But if you feel, the standard 150 days is more relevant, we can update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8835A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B193F2" w16cex:dateUtc="2026-03-12T19:53:00Z">
    <w16cex:extLst>
      <w16:ext w16:uri="{CE6994B0-6A32-4C9F-8C6B-6E91EDA988CE}">
        <cr:reactions xmlns:cr="http://schemas.microsoft.com/office/comments/2020/reactions">
          <cr:reaction reactionType="1">
            <cr:reactionInfo dateUtc="2026-03-12T20:51:45Z">
              <cr:user userId="S::priti.anand@abbvie.com::8027ef1d-c571-42de-b24e-ef65656f6f72" userProvider="AD" userName="Anand, Priti"/>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8835A9" w16cid:durableId="23B193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1" w15:restartNumberingAfterBreak="0">
    <w:nsid w:val="36C97137"/>
    <w:multiLevelType w:val="hybridMultilevel"/>
    <w:tmpl w:val="D1287FE0"/>
    <w:lvl w:ilvl="0" w:tplc="1292EEA0">
      <w:start w:val="1"/>
      <w:numFmt w:val="bullet"/>
      <w:lvlText w:val=""/>
      <w:lvlJc w:val="left"/>
      <w:pPr>
        <w:ind w:left="720" w:hanging="360"/>
      </w:pPr>
      <w:rPr>
        <w:rFonts w:ascii="Symbol" w:hAnsi="Symbol" w:hint="default"/>
        <w:color w:val="171717" w:themeColor="background2" w:themeShade="1A"/>
      </w:rPr>
    </w:lvl>
    <w:lvl w:ilvl="1" w:tplc="4D3456D8">
      <w:start w:val="1"/>
      <w:numFmt w:val="bullet"/>
      <w:lvlText w:val="o"/>
      <w:lvlJc w:val="left"/>
      <w:pPr>
        <w:ind w:left="1440" w:hanging="360"/>
      </w:pPr>
      <w:rPr>
        <w:rFonts w:ascii="Courier New" w:hAnsi="Courier New" w:cs="Courier New" w:hint="default"/>
        <w:color w:val="171717" w:themeColor="background2" w:themeShade="1A"/>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num w:numId="1" w16cid:durableId="366764156">
    <w:abstractNumId w:val="1"/>
  </w:num>
  <w:num w:numId="2" w16cid:durableId="1425108719">
    <w:abstractNumId w:val="2"/>
  </w:num>
  <w:num w:numId="3" w16cid:durableId="12559427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mna Jhamb">
    <w15:presenceInfo w15:providerId="AD" w15:userId="S::kamnaj_eradigm.com#ext#@abbvie.onmicrosoft.com::bbb3ead3-7a26-4d74-baa6-ee2e89b428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0587B"/>
    <w:rsid w:val="0001479E"/>
    <w:rsid w:val="000158F9"/>
    <w:rsid w:val="00017A79"/>
    <w:rsid w:val="00022C2C"/>
    <w:rsid w:val="000248DF"/>
    <w:rsid w:val="00025AB5"/>
    <w:rsid w:val="0004285C"/>
    <w:rsid w:val="000522EC"/>
    <w:rsid w:val="000650C3"/>
    <w:rsid w:val="00093C38"/>
    <w:rsid w:val="000940AF"/>
    <w:rsid w:val="000965FC"/>
    <w:rsid w:val="000A5754"/>
    <w:rsid w:val="000C111C"/>
    <w:rsid w:val="000D3533"/>
    <w:rsid w:val="00105672"/>
    <w:rsid w:val="00117BE6"/>
    <w:rsid w:val="00133D86"/>
    <w:rsid w:val="00142839"/>
    <w:rsid w:val="001572B1"/>
    <w:rsid w:val="0018227E"/>
    <w:rsid w:val="00185947"/>
    <w:rsid w:val="00186450"/>
    <w:rsid w:val="001972A4"/>
    <w:rsid w:val="001B5E7F"/>
    <w:rsid w:val="001D069A"/>
    <w:rsid w:val="001E5BF5"/>
    <w:rsid w:val="001F128F"/>
    <w:rsid w:val="001F701F"/>
    <w:rsid w:val="002013FD"/>
    <w:rsid w:val="00205D74"/>
    <w:rsid w:val="002101C7"/>
    <w:rsid w:val="00210630"/>
    <w:rsid w:val="00217930"/>
    <w:rsid w:val="00232814"/>
    <w:rsid w:val="00235632"/>
    <w:rsid w:val="002363F7"/>
    <w:rsid w:val="00245EB5"/>
    <w:rsid w:val="00265A02"/>
    <w:rsid w:val="00296DAA"/>
    <w:rsid w:val="002A6530"/>
    <w:rsid w:val="002B1B27"/>
    <w:rsid w:val="002C2D65"/>
    <w:rsid w:val="002E459C"/>
    <w:rsid w:val="002E6873"/>
    <w:rsid w:val="002E7636"/>
    <w:rsid w:val="002F3679"/>
    <w:rsid w:val="00312686"/>
    <w:rsid w:val="0033006F"/>
    <w:rsid w:val="00330177"/>
    <w:rsid w:val="00331521"/>
    <w:rsid w:val="00342D53"/>
    <w:rsid w:val="00365CA8"/>
    <w:rsid w:val="00372D1B"/>
    <w:rsid w:val="00377322"/>
    <w:rsid w:val="003906CB"/>
    <w:rsid w:val="003A2D3C"/>
    <w:rsid w:val="003A6D7C"/>
    <w:rsid w:val="003F1937"/>
    <w:rsid w:val="003F5EDB"/>
    <w:rsid w:val="003F7618"/>
    <w:rsid w:val="00403567"/>
    <w:rsid w:val="004071CB"/>
    <w:rsid w:val="00420E68"/>
    <w:rsid w:val="004C01C4"/>
    <w:rsid w:val="004C5A75"/>
    <w:rsid w:val="004D2A9F"/>
    <w:rsid w:val="004E3495"/>
    <w:rsid w:val="004E451B"/>
    <w:rsid w:val="004F501C"/>
    <w:rsid w:val="004F798F"/>
    <w:rsid w:val="005107B6"/>
    <w:rsid w:val="00510DAE"/>
    <w:rsid w:val="005149A9"/>
    <w:rsid w:val="00530947"/>
    <w:rsid w:val="00533B7E"/>
    <w:rsid w:val="0053610D"/>
    <w:rsid w:val="00576496"/>
    <w:rsid w:val="005779A3"/>
    <w:rsid w:val="00577F2B"/>
    <w:rsid w:val="00587EDC"/>
    <w:rsid w:val="005926FD"/>
    <w:rsid w:val="005E56EC"/>
    <w:rsid w:val="005F6A37"/>
    <w:rsid w:val="00606142"/>
    <w:rsid w:val="006113A8"/>
    <w:rsid w:val="00630730"/>
    <w:rsid w:val="0064137C"/>
    <w:rsid w:val="00667DDC"/>
    <w:rsid w:val="0068305C"/>
    <w:rsid w:val="0069530B"/>
    <w:rsid w:val="006A3E27"/>
    <w:rsid w:val="006A6CD3"/>
    <w:rsid w:val="006D4D77"/>
    <w:rsid w:val="00747ADB"/>
    <w:rsid w:val="00764C3C"/>
    <w:rsid w:val="007664D2"/>
    <w:rsid w:val="0080257B"/>
    <w:rsid w:val="00804CB7"/>
    <w:rsid w:val="00812EA6"/>
    <w:rsid w:val="0081682C"/>
    <w:rsid w:val="00836625"/>
    <w:rsid w:val="008626B9"/>
    <w:rsid w:val="0086423C"/>
    <w:rsid w:val="0086594E"/>
    <w:rsid w:val="00866724"/>
    <w:rsid w:val="00873ED7"/>
    <w:rsid w:val="00874C74"/>
    <w:rsid w:val="00893A23"/>
    <w:rsid w:val="008965BF"/>
    <w:rsid w:val="008C03A1"/>
    <w:rsid w:val="008F39A3"/>
    <w:rsid w:val="00925F70"/>
    <w:rsid w:val="00933BD4"/>
    <w:rsid w:val="009406E7"/>
    <w:rsid w:val="009407B8"/>
    <w:rsid w:val="00941121"/>
    <w:rsid w:val="00942C19"/>
    <w:rsid w:val="00953D86"/>
    <w:rsid w:val="00970145"/>
    <w:rsid w:val="009F5CD2"/>
    <w:rsid w:val="00A03C13"/>
    <w:rsid w:val="00A30B42"/>
    <w:rsid w:val="00A63C55"/>
    <w:rsid w:val="00A66975"/>
    <w:rsid w:val="00A9326B"/>
    <w:rsid w:val="00A95319"/>
    <w:rsid w:val="00AA20E6"/>
    <w:rsid w:val="00AD4EE3"/>
    <w:rsid w:val="00AF2881"/>
    <w:rsid w:val="00AF7F7F"/>
    <w:rsid w:val="00B038CF"/>
    <w:rsid w:val="00B327A6"/>
    <w:rsid w:val="00B533F9"/>
    <w:rsid w:val="00B66789"/>
    <w:rsid w:val="00B67E2F"/>
    <w:rsid w:val="00BB4E68"/>
    <w:rsid w:val="00BD2462"/>
    <w:rsid w:val="00BD5D4B"/>
    <w:rsid w:val="00BF526A"/>
    <w:rsid w:val="00C21ABE"/>
    <w:rsid w:val="00C34B27"/>
    <w:rsid w:val="00C448E9"/>
    <w:rsid w:val="00C7091E"/>
    <w:rsid w:val="00C736D7"/>
    <w:rsid w:val="00C84540"/>
    <w:rsid w:val="00C91B7E"/>
    <w:rsid w:val="00C974C8"/>
    <w:rsid w:val="00CA7702"/>
    <w:rsid w:val="00CB0E62"/>
    <w:rsid w:val="00CE1741"/>
    <w:rsid w:val="00D20648"/>
    <w:rsid w:val="00D220FF"/>
    <w:rsid w:val="00D23A08"/>
    <w:rsid w:val="00D34F81"/>
    <w:rsid w:val="00D4705C"/>
    <w:rsid w:val="00D56D32"/>
    <w:rsid w:val="00D572E4"/>
    <w:rsid w:val="00D73313"/>
    <w:rsid w:val="00D87631"/>
    <w:rsid w:val="00DC62B7"/>
    <w:rsid w:val="00E36BAA"/>
    <w:rsid w:val="00E4085A"/>
    <w:rsid w:val="00E53694"/>
    <w:rsid w:val="00E60CF4"/>
    <w:rsid w:val="00E67065"/>
    <w:rsid w:val="00E76886"/>
    <w:rsid w:val="00ED65DC"/>
    <w:rsid w:val="00EF6440"/>
    <w:rsid w:val="00F004CA"/>
    <w:rsid w:val="00F04990"/>
    <w:rsid w:val="00F069E1"/>
    <w:rsid w:val="00F14D1B"/>
    <w:rsid w:val="00F165C5"/>
    <w:rsid w:val="00F43A37"/>
    <w:rsid w:val="00F56829"/>
    <w:rsid w:val="00F616E7"/>
    <w:rsid w:val="00F66394"/>
    <w:rsid w:val="00F722E5"/>
    <w:rsid w:val="00F90091"/>
    <w:rsid w:val="00F934F9"/>
    <w:rsid w:val="00FA2534"/>
    <w:rsid w:val="00FB75D6"/>
    <w:rsid w:val="1694455E"/>
    <w:rsid w:val="2A974927"/>
    <w:rsid w:val="50FEE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630C6CD4-A1F4-4129-9009-FADE1567C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D6"/>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customStyle="1" w:styleId="QuoteChar">
    <w:name w:val="Quote Char"/>
    <w:basedOn w:val="DefaultParagraphFont"/>
    <w:link w:val="Quote"/>
    <w:uiPriority w:val="29"/>
    <w:rsid w:val="00245EB5"/>
    <w:rPr>
      <w:i/>
      <w:iCs/>
      <w:color w:val="404040" w:themeColor="text1" w:themeTint="BF"/>
    </w:rPr>
  </w:style>
  <w:style w:type="paragraph" w:styleId="ListParagraph">
    <w:name w:val="List Paragraph"/>
    <w:basedOn w:val="Normal"/>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customStyle="1" w:styleId="normaltextrun">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customStyle="1" w:styleId="CommentTextChar">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customStyle="1" w:styleId="CommentSubjectChar">
    <w:name w:val="Comment Subject Char"/>
    <w:basedOn w:val="CommentTextChar"/>
    <w:link w:val="CommentSubject"/>
    <w:uiPriority w:val="99"/>
    <w:semiHidden/>
    <w:rsid w:val="00E67065"/>
    <w:rPr>
      <w:b/>
      <w:bCs/>
      <w:sz w:val="20"/>
      <w:szCs w:val="20"/>
    </w:rPr>
  </w:style>
  <w:style w:type="paragraph" w:styleId="Revision">
    <w:name w:val="Revision"/>
    <w:hidden/>
    <w:uiPriority w:val="99"/>
    <w:semiHidden/>
    <w:rsid w:val="005E56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ducts.mhra.gov.uk/" TargetMode="External"/><Relationship Id="rId18" Type="http://schemas.microsoft.com/office/2011/relationships/commentsExtended" Target="commentsExtended.xml"/><Relationship Id="rId26" Type="http://schemas.openxmlformats.org/officeDocument/2006/relationships/hyperlink" Target="https://clinicaltrials.gov/study/NCT04797650" TargetMode="External"/><Relationship Id="rId21" Type="http://schemas.openxmlformats.org/officeDocument/2006/relationships/hyperlink" Target="https://www.gov.uk/government/publications/international-recognition-procedure/international-recognition-procedure" TargetMode="External"/><Relationship Id="rId34"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7" Type="http://schemas.openxmlformats.org/officeDocument/2006/relationships/webSettings" Target="webSettings.xml"/><Relationship Id="rId12" Type="http://schemas.openxmlformats.org/officeDocument/2006/relationships/hyperlink" Target="https://clinicaltrials.gov/study/NCT04797650" TargetMode="External"/><Relationship Id="rId17" Type="http://schemas.openxmlformats.org/officeDocument/2006/relationships/comments" Target="comments.xml"/><Relationship Id="rId25" Type="http://schemas.openxmlformats.org/officeDocument/2006/relationships/hyperlink" Target="https://clinicaltrials.gov/study/NCT04518995" TargetMode="External"/><Relationship Id="rId33"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linicaltrials.gov/study/NCT07133308" TargetMode="External"/><Relationship Id="rId20" Type="http://schemas.microsoft.com/office/2018/08/relationships/commentsExtensible" Target="commentsExtensible.xml"/><Relationship Id="rId29" Type="http://schemas.openxmlformats.org/officeDocument/2006/relationships/hyperlink" Target="mailto:luke.versten@abbvi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4518995" TargetMode="External"/><Relationship Id="rId24" Type="http://schemas.openxmlformats.org/officeDocument/2006/relationships/hyperlink" Target="https://www.ema.europa.eu/en/documents/report/applications-new-human-medicines-under-evaluation-march-2026_en.xlsx" TargetMode="External"/><Relationship Id="rId32" Type="http://schemas.openxmlformats.org/officeDocument/2006/relationships/hyperlink" Target="mailto:priti.anand@abbvie.com" TargetMode="External"/><Relationship Id="rId37"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s://investor.lilly.com/news-releases/news-release-details/lillys-olumiant-baricitinib-recommended-chmp-approval-expanded" TargetMode="External"/><Relationship Id="rId23" Type="http://schemas.openxmlformats.org/officeDocument/2006/relationships/hyperlink" Target="https://www.canada.ca/en/health-canada/services/drug-health-product-review-approval/submissions-under-review/new-drug-submissions-under-review.html" TargetMode="External"/><Relationship Id="rId28" Type="http://schemas.openxmlformats.org/officeDocument/2006/relationships/hyperlink" Target="mailto:bethany.christmann@abbvie.com" TargetMode="External"/><Relationship Id="rId36" Type="http://schemas.openxmlformats.org/officeDocument/2006/relationships/fontTable" Target="fontTable.xml"/><Relationship Id="rId10" Type="http://schemas.openxmlformats.org/officeDocument/2006/relationships/hyperlink" Target="https://www.gov.uk/government/news/mhra-approves-deuruxolitinib-leqselvi-to-treat-severe-alopecia-areata-in-adults" TargetMode="External"/><Relationship Id="rId19" Type="http://schemas.microsoft.com/office/2016/09/relationships/commentsIds" Target="commentsIds.xml"/><Relationship Id="rId31" Type="http://schemas.openxmlformats.org/officeDocument/2006/relationships/hyperlink" Target="mailto:irene.knorn@abbvie.com" TargetMode="External"/><Relationship Id="rId4" Type="http://schemas.openxmlformats.org/officeDocument/2006/relationships/numbering" Target="numbering.xml"/><Relationship Id="rId9" Type="http://schemas.openxmlformats.org/officeDocument/2006/relationships/hyperlink" Target="https://www.gov.uk/government/news/mhra-approves-deuruxolitinib-leqselvi-to-treat-severe-alopecia-areata-in-adults" TargetMode="External"/><Relationship Id="rId14" Type="http://schemas.openxmlformats.org/officeDocument/2006/relationships/hyperlink" Target="https://investor.lilly.com/news-releases/news-release-details/lillys-olumiant-baricitinib-recommended-chmp-approval-expanded" TargetMode="External"/><Relationship Id="rId22" Type="http://schemas.openxmlformats.org/officeDocument/2006/relationships/hyperlink" Target="https://sunpharma.com/wp-content/uploads/2024/07/Sunpharma-LEQSELVI-Approval-Scenario-Press-Release.pdf" TargetMode="External"/><Relationship Id="rId27" Type="http://schemas.openxmlformats.org/officeDocument/2006/relationships/hyperlink" Target="mailto:chanda.bhat@abbvie.com" TargetMode="External"/><Relationship Id="rId30" Type="http://schemas.openxmlformats.org/officeDocument/2006/relationships/hyperlink" Target="mailto:priti.anand@abbvie.com" TargetMode="External"/><Relationship Id="rId35"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C2FFB8-7A7E-4172-8690-ACD95034B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customXml/itemProps3.xml><?xml version="1.0" encoding="utf-8"?>
<ds:datastoreItem xmlns:ds="http://schemas.openxmlformats.org/officeDocument/2006/customXml" ds:itemID="{F805D8F7-73C1-41A5-939A-170D5D14BF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1077</TotalTime>
  <Pages>2</Pages>
  <Words>998</Words>
  <Characters>5695</Characters>
  <Application>Microsoft Office Word</Application>
  <DocSecurity>0</DocSecurity>
  <Lines>47</Lines>
  <Paragraphs>13</Paragraphs>
  <ScaleCrop>false</ScaleCrop>
  <Company>Abbvie</Company>
  <LinksUpToDate>false</LinksUpToDate>
  <CharactersWithSpaces>6680</CharactersWithSpaces>
  <SharedDoc>false</SharedDoc>
  <HLinks>
    <vt:vector size="138" baseType="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57</vt:i4>
      </vt:variant>
      <vt:variant>
        <vt:i4>0</vt:i4>
      </vt:variant>
      <vt:variant>
        <vt:i4>5</vt:i4>
      </vt:variant>
      <vt:variant>
        <vt:lpwstr>mailto:priti.anand@abbvie.com</vt:lpwstr>
      </vt:variant>
      <vt:variant>
        <vt:lpwstr/>
      </vt:variant>
      <vt:variant>
        <vt:i4>4849718</vt:i4>
      </vt:variant>
      <vt:variant>
        <vt:i4>54</vt:i4>
      </vt:variant>
      <vt:variant>
        <vt:i4>0</vt:i4>
      </vt:variant>
      <vt:variant>
        <vt:i4>5</vt:i4>
      </vt:variant>
      <vt:variant>
        <vt:lpwstr>mailto:irene.knorn@abbvie.com</vt:lpwstr>
      </vt:variant>
      <vt:variant>
        <vt:lpwstr/>
      </vt:variant>
      <vt:variant>
        <vt:i4>6094896</vt:i4>
      </vt:variant>
      <vt:variant>
        <vt:i4>51</vt:i4>
      </vt:variant>
      <vt:variant>
        <vt:i4>0</vt:i4>
      </vt:variant>
      <vt:variant>
        <vt:i4>5</vt:i4>
      </vt:variant>
      <vt:variant>
        <vt:lpwstr>mailto:priti.anand@abbvie.com</vt:lpwstr>
      </vt:variant>
      <vt:variant>
        <vt:lpwstr/>
      </vt:variant>
      <vt:variant>
        <vt:i4>458863</vt:i4>
      </vt:variant>
      <vt:variant>
        <vt:i4>48</vt:i4>
      </vt:variant>
      <vt:variant>
        <vt:i4>0</vt:i4>
      </vt:variant>
      <vt:variant>
        <vt:i4>5</vt:i4>
      </vt:variant>
      <vt:variant>
        <vt:lpwstr>mailto:luke.versten@abbvie.com</vt:lpwstr>
      </vt:variant>
      <vt:variant>
        <vt:lpwstr/>
      </vt:variant>
      <vt:variant>
        <vt:i4>3276886</vt:i4>
      </vt:variant>
      <vt:variant>
        <vt:i4>45</vt:i4>
      </vt:variant>
      <vt:variant>
        <vt:i4>0</vt:i4>
      </vt:variant>
      <vt:variant>
        <vt:i4>5</vt:i4>
      </vt:variant>
      <vt:variant>
        <vt:lpwstr>mailto:bethany.christmann@abbvie.com</vt:lpwstr>
      </vt:variant>
      <vt:variant>
        <vt:lpwstr/>
      </vt:variant>
      <vt:variant>
        <vt:i4>1900668</vt:i4>
      </vt:variant>
      <vt:variant>
        <vt:i4>42</vt:i4>
      </vt:variant>
      <vt:variant>
        <vt:i4>0</vt:i4>
      </vt:variant>
      <vt:variant>
        <vt:i4>5</vt:i4>
      </vt:variant>
      <vt:variant>
        <vt:lpwstr>mailto:chanda.bhat@abbvie.com</vt:lpwstr>
      </vt:variant>
      <vt:variant>
        <vt:lpwstr/>
      </vt:variant>
      <vt:variant>
        <vt:i4>196612</vt:i4>
      </vt:variant>
      <vt:variant>
        <vt:i4>39</vt:i4>
      </vt:variant>
      <vt:variant>
        <vt:i4>0</vt:i4>
      </vt:variant>
      <vt:variant>
        <vt:i4>5</vt:i4>
      </vt:variant>
      <vt:variant>
        <vt:lpwstr>https://clinicaltrials.gov/study/NCT04797650</vt:lpwstr>
      </vt:variant>
      <vt:variant>
        <vt:lpwstr/>
      </vt:variant>
      <vt:variant>
        <vt:i4>65541</vt:i4>
      </vt:variant>
      <vt:variant>
        <vt:i4>36</vt:i4>
      </vt:variant>
      <vt:variant>
        <vt:i4>0</vt:i4>
      </vt:variant>
      <vt:variant>
        <vt:i4>5</vt:i4>
      </vt:variant>
      <vt:variant>
        <vt:lpwstr>https://clinicaltrials.gov/study/NCT04518995</vt:lpwstr>
      </vt:variant>
      <vt:variant>
        <vt:lpwstr/>
      </vt:variant>
      <vt:variant>
        <vt:i4>3932176</vt:i4>
      </vt:variant>
      <vt:variant>
        <vt:i4>33</vt:i4>
      </vt:variant>
      <vt:variant>
        <vt:i4>0</vt:i4>
      </vt:variant>
      <vt:variant>
        <vt:i4>5</vt:i4>
      </vt:variant>
      <vt:variant>
        <vt:lpwstr>https://www.ema.europa.eu/en/documents/report/applications-new-human-medicines-under-evaluation-march-2026_en.xlsx</vt:lpwstr>
      </vt:variant>
      <vt:variant>
        <vt:lpwstr/>
      </vt:variant>
      <vt:variant>
        <vt:i4>7209015</vt:i4>
      </vt:variant>
      <vt:variant>
        <vt:i4>30</vt:i4>
      </vt:variant>
      <vt:variant>
        <vt:i4>0</vt:i4>
      </vt:variant>
      <vt:variant>
        <vt:i4>5</vt:i4>
      </vt:variant>
      <vt:variant>
        <vt:lpwstr>https://www.canada.ca/en/health-canada/services/drug-health-product-review-approval/submissions-under-review/new-drug-submissions-under-review.html</vt:lpwstr>
      </vt:variant>
      <vt:variant>
        <vt:lpwstr/>
      </vt:variant>
      <vt:variant>
        <vt:i4>7471230</vt:i4>
      </vt:variant>
      <vt:variant>
        <vt:i4>27</vt:i4>
      </vt:variant>
      <vt:variant>
        <vt:i4>0</vt:i4>
      </vt:variant>
      <vt:variant>
        <vt:i4>5</vt:i4>
      </vt:variant>
      <vt:variant>
        <vt:lpwstr>https://sunpharma.com/wp-content/uploads/2024/07/Sunpharma-LEQSELVI-Approval-Scenario-Press-Release.pdf</vt:lpwstr>
      </vt:variant>
      <vt:variant>
        <vt:lpwstr/>
      </vt:variant>
      <vt:variant>
        <vt:i4>4128867</vt:i4>
      </vt:variant>
      <vt:variant>
        <vt:i4>24</vt:i4>
      </vt:variant>
      <vt:variant>
        <vt:i4>0</vt:i4>
      </vt:variant>
      <vt:variant>
        <vt:i4>5</vt:i4>
      </vt:variant>
      <vt:variant>
        <vt:lpwstr>https://www.gov.uk/government/publications/international-recognition-procedure/international-recognition-procedure</vt:lpwstr>
      </vt:variant>
      <vt:variant>
        <vt:lpwstr/>
      </vt:variant>
      <vt:variant>
        <vt:i4>458755</vt:i4>
      </vt:variant>
      <vt:variant>
        <vt:i4>21</vt:i4>
      </vt:variant>
      <vt:variant>
        <vt:i4>0</vt:i4>
      </vt:variant>
      <vt:variant>
        <vt:i4>5</vt:i4>
      </vt:variant>
      <vt:variant>
        <vt:lpwstr>https://clinicaltrials.gov/study/NCT07133308</vt:lpwstr>
      </vt:variant>
      <vt:variant>
        <vt:lpwstr/>
      </vt:variant>
      <vt:variant>
        <vt:i4>655444</vt:i4>
      </vt:variant>
      <vt:variant>
        <vt:i4>18</vt:i4>
      </vt:variant>
      <vt:variant>
        <vt:i4>0</vt:i4>
      </vt:variant>
      <vt:variant>
        <vt:i4>5</vt:i4>
      </vt:variant>
      <vt:variant>
        <vt:lpwstr>https://investor.lilly.com/news-releases/news-release-details/lillys-olumiant-baricitinib-recommended-chmp-approval-expanded</vt:lpwstr>
      </vt:variant>
      <vt:variant>
        <vt:lpwstr/>
      </vt:variant>
      <vt:variant>
        <vt:i4>655444</vt:i4>
      </vt:variant>
      <vt:variant>
        <vt:i4>15</vt:i4>
      </vt:variant>
      <vt:variant>
        <vt:i4>0</vt:i4>
      </vt:variant>
      <vt:variant>
        <vt:i4>5</vt:i4>
      </vt:variant>
      <vt:variant>
        <vt:lpwstr>https://investor.lilly.com/news-releases/news-release-details/lillys-olumiant-baricitinib-recommended-chmp-approval-expanded</vt:lpwstr>
      </vt:variant>
      <vt:variant>
        <vt:lpwstr/>
      </vt:variant>
      <vt:variant>
        <vt:i4>786461</vt:i4>
      </vt:variant>
      <vt:variant>
        <vt:i4>12</vt:i4>
      </vt:variant>
      <vt:variant>
        <vt:i4>0</vt:i4>
      </vt:variant>
      <vt:variant>
        <vt:i4>5</vt:i4>
      </vt:variant>
      <vt:variant>
        <vt:lpwstr>https://products.mhra.gov.uk/</vt:lpwstr>
      </vt:variant>
      <vt:variant>
        <vt:lpwstr/>
      </vt:variant>
      <vt:variant>
        <vt:i4>196612</vt:i4>
      </vt:variant>
      <vt:variant>
        <vt:i4>9</vt:i4>
      </vt:variant>
      <vt:variant>
        <vt:i4>0</vt:i4>
      </vt:variant>
      <vt:variant>
        <vt:i4>5</vt:i4>
      </vt:variant>
      <vt:variant>
        <vt:lpwstr>https://clinicaltrials.gov/study/NCT04797650</vt:lpwstr>
      </vt:variant>
      <vt:variant>
        <vt:lpwstr/>
      </vt:variant>
      <vt:variant>
        <vt:i4>65541</vt:i4>
      </vt:variant>
      <vt:variant>
        <vt:i4>6</vt:i4>
      </vt:variant>
      <vt:variant>
        <vt:i4>0</vt:i4>
      </vt:variant>
      <vt:variant>
        <vt:i4>5</vt:i4>
      </vt:variant>
      <vt:variant>
        <vt:lpwstr>https://clinicaltrials.gov/study/NCT04518995</vt:lpwstr>
      </vt:variant>
      <vt:variant>
        <vt:lpwstr/>
      </vt:variant>
      <vt:variant>
        <vt:i4>3276850</vt:i4>
      </vt:variant>
      <vt:variant>
        <vt:i4>3</vt:i4>
      </vt:variant>
      <vt:variant>
        <vt:i4>0</vt:i4>
      </vt:variant>
      <vt:variant>
        <vt:i4>5</vt:i4>
      </vt:variant>
      <vt:variant>
        <vt:lpwstr>https://www.gov.uk/government/news/mhra-approves-deuruxolitinib-leqselvi-to-treat-severe-alopecia-areata-in-adults</vt:lpwstr>
      </vt:variant>
      <vt:variant>
        <vt:lpwstr/>
      </vt:variant>
      <vt:variant>
        <vt:i4>3276850</vt:i4>
      </vt:variant>
      <vt:variant>
        <vt:i4>0</vt:i4>
      </vt:variant>
      <vt:variant>
        <vt:i4>0</vt:i4>
      </vt:variant>
      <vt:variant>
        <vt:i4>5</vt:i4>
      </vt:variant>
      <vt:variant>
        <vt:lpwstr>https://www.gov.uk/government/news/mhra-approves-deuruxolitinib-leqselvi-to-treat-severe-alopecia-areata-in-adults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Christmann, Bethany</dc:creator>
  <cp:keywords/>
  <dc:description/>
  <cp:lastModifiedBy>Anand, Priti</cp:lastModifiedBy>
  <cp:revision>172</cp:revision>
  <dcterms:created xsi:type="dcterms:W3CDTF">2026-03-06T15:35:00Z</dcterms:created>
  <dcterms:modified xsi:type="dcterms:W3CDTF">2026-03-13T14:27:00Z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