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1444F57B">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D9BD440" w14:textId="6DC31700" w:rsidR="002E6873" w:rsidRDefault="006C7A87" w:rsidP="00942C19">
            <w:pPr>
              <w:jc w:val="center"/>
              <w:rPr>
                <w:b/>
                <w:bCs/>
                <w:color w:val="002060"/>
                <w:sz w:val="32"/>
                <w:szCs w:val="32"/>
              </w:rPr>
            </w:pPr>
            <w:r>
              <w:rPr>
                <w:b/>
                <w:bCs/>
                <w:color w:val="002060"/>
                <w:sz w:val="32"/>
                <w:szCs w:val="32"/>
              </w:rPr>
              <w:t xml:space="preserve">FDA </w:t>
            </w:r>
            <w:r w:rsidR="004C5A75">
              <w:rPr>
                <w:b/>
                <w:bCs/>
                <w:color w:val="002060"/>
                <w:sz w:val="32"/>
                <w:szCs w:val="32"/>
              </w:rPr>
              <w:t xml:space="preserve">Approves </w:t>
            </w:r>
            <w:r>
              <w:rPr>
                <w:b/>
                <w:bCs/>
                <w:color w:val="002060"/>
                <w:sz w:val="32"/>
                <w:szCs w:val="32"/>
              </w:rPr>
              <w:t xml:space="preserve">Cosentyx </w:t>
            </w:r>
            <w:r w:rsidR="002B3ED1">
              <w:rPr>
                <w:b/>
                <w:bCs/>
                <w:color w:val="002060"/>
                <w:sz w:val="32"/>
                <w:szCs w:val="32"/>
              </w:rPr>
              <w:t>for pediatric (12+ years) moderate-to-severe HS</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1444F57B">
              <w:trPr>
                <w:trHeight w:val="195"/>
                <w:jc w:val="center"/>
              </w:trPr>
              <w:tc>
                <w:tcPr>
                  <w:tcW w:w="4637" w:type="dxa"/>
                  <w:tcMar>
                    <w:left w:w="105" w:type="dxa"/>
                    <w:right w:w="105" w:type="dxa"/>
                  </w:tcMar>
                  <w:vAlign w:val="center"/>
                </w:tcPr>
                <w:p w14:paraId="612D3CFA" w14:textId="5D018F01" w:rsidR="00BD5D4B" w:rsidRDefault="00A63C55" w:rsidP="00F069E1">
                  <w:pPr>
                    <w:jc w:val="center"/>
                    <w:rPr>
                      <w:rFonts w:ascii="Aptos" w:eastAsia="Aptos" w:hAnsi="Aptos" w:cs="Aptos"/>
                      <w:b/>
                      <w:bCs/>
                      <w:color w:val="171717" w:themeColor="background2" w:themeShade="1A"/>
                      <w:sz w:val="16"/>
                      <w:szCs w:val="16"/>
                    </w:rPr>
                  </w:pPr>
                  <w:r w:rsidRPr="1444F57B">
                    <w:rPr>
                      <w:rFonts w:ascii="Aptos" w:eastAsia="Aptos" w:hAnsi="Aptos" w:cs="Aptos"/>
                      <w:b/>
                      <w:bCs/>
                      <w:color w:val="171717" w:themeColor="background2" w:themeShade="1A"/>
                      <w:sz w:val="16"/>
                      <w:szCs w:val="16"/>
                    </w:rPr>
                    <w:t xml:space="preserve">Company: </w:t>
                  </w:r>
                  <w:r w:rsidR="002B3ED1" w:rsidRPr="1444F57B">
                    <w:rPr>
                      <w:rFonts w:ascii="Aptos" w:eastAsia="Aptos" w:hAnsi="Aptos" w:cs="Aptos"/>
                      <w:color w:val="171717" w:themeColor="background2" w:themeShade="1A"/>
                      <w:sz w:val="16"/>
                      <w:szCs w:val="16"/>
                    </w:rPr>
                    <w:t>Novartis</w:t>
                  </w:r>
                </w:p>
                <w:p w14:paraId="6470EEFF" w14:textId="5D1CEFA7" w:rsidR="00A63C55" w:rsidRPr="00A63C55" w:rsidRDefault="00A63C55" w:rsidP="1444F57B">
                  <w:pPr>
                    <w:jc w:val="center"/>
                    <w:rPr>
                      <w:rFonts w:ascii="Aptos" w:eastAsia="Aptos" w:hAnsi="Aptos" w:cs="Aptos"/>
                      <w:b/>
                      <w:bCs/>
                      <w:color w:val="171717" w:themeColor="background2" w:themeShade="1A"/>
                      <w:sz w:val="16"/>
                      <w:szCs w:val="16"/>
                    </w:rPr>
                  </w:pPr>
                  <w:r w:rsidRPr="1444F57B">
                    <w:rPr>
                      <w:rFonts w:ascii="Aptos" w:eastAsia="Aptos" w:hAnsi="Aptos" w:cs="Aptos"/>
                      <w:b/>
                      <w:bCs/>
                      <w:color w:val="171717" w:themeColor="background2" w:themeShade="1A"/>
                      <w:sz w:val="16"/>
                      <w:szCs w:val="16"/>
                    </w:rPr>
                    <w:t xml:space="preserve">Drug: </w:t>
                  </w:r>
                  <w:r w:rsidR="002B3ED1" w:rsidRPr="1444F57B">
                    <w:rPr>
                      <w:rFonts w:ascii="Aptos" w:eastAsia="Aptos" w:hAnsi="Aptos" w:cs="Aptos"/>
                      <w:color w:val="171717" w:themeColor="background2" w:themeShade="1A"/>
                      <w:sz w:val="16"/>
                      <w:szCs w:val="16"/>
                    </w:rPr>
                    <w:t>Cosentyx</w:t>
                  </w:r>
                  <w:r w:rsidR="00420E68" w:rsidRPr="1444F57B">
                    <w:rPr>
                      <w:rFonts w:ascii="Aptos" w:eastAsia="Aptos" w:hAnsi="Aptos" w:cs="Aptos"/>
                      <w:color w:val="171717" w:themeColor="background2" w:themeShade="1A"/>
                      <w:sz w:val="16"/>
                      <w:szCs w:val="16"/>
                    </w:rPr>
                    <w:t xml:space="preserve"> (</w:t>
                  </w:r>
                  <w:r w:rsidR="002B3ED1" w:rsidRPr="1444F57B">
                    <w:rPr>
                      <w:rFonts w:ascii="Aptos" w:eastAsia="Aptos" w:hAnsi="Aptos" w:cs="Aptos"/>
                      <w:color w:val="171717" w:themeColor="background2" w:themeShade="1A"/>
                      <w:sz w:val="16"/>
                      <w:szCs w:val="16"/>
                    </w:rPr>
                    <w:t>secukinumab</w:t>
                  </w:r>
                  <w:r w:rsidR="00420E68" w:rsidRPr="1444F57B">
                    <w:rPr>
                      <w:rFonts w:ascii="Aptos" w:eastAsia="Aptos" w:hAnsi="Aptos" w:cs="Aptos"/>
                      <w:color w:val="171717" w:themeColor="background2" w:themeShade="1A"/>
                      <w:sz w:val="16"/>
                      <w:szCs w:val="16"/>
                    </w:rPr>
                    <w:t xml:space="preserve">; </w:t>
                  </w:r>
                  <w:r w:rsidR="00910541" w:rsidRPr="1444F57B">
                    <w:rPr>
                      <w:rFonts w:ascii="Aptos" w:eastAsia="Aptos" w:hAnsi="Aptos" w:cs="Aptos"/>
                      <w:color w:val="171717" w:themeColor="background2" w:themeShade="1A"/>
                      <w:sz w:val="16"/>
                      <w:szCs w:val="16"/>
                    </w:rPr>
                    <w:t>SC</w:t>
                  </w:r>
                  <w:r w:rsidR="00142839" w:rsidRPr="1444F57B">
                    <w:rPr>
                      <w:rFonts w:ascii="Aptos" w:eastAsia="Aptos" w:hAnsi="Aptos" w:cs="Aptos"/>
                      <w:color w:val="171717" w:themeColor="background2" w:themeShade="1A"/>
                      <w:sz w:val="16"/>
                      <w:szCs w:val="16"/>
                    </w:rPr>
                    <w:t xml:space="preserve"> </w:t>
                  </w:r>
                  <w:r w:rsidR="00910541" w:rsidRPr="1444F57B">
                    <w:rPr>
                      <w:rFonts w:ascii="Aptos" w:eastAsia="Aptos" w:hAnsi="Aptos" w:cs="Aptos"/>
                      <w:color w:val="171717" w:themeColor="background2" w:themeShade="1A"/>
                      <w:sz w:val="16"/>
                      <w:szCs w:val="16"/>
                    </w:rPr>
                    <w:t>IL-17A</w:t>
                  </w:r>
                  <w:r w:rsidR="00873ED7" w:rsidRPr="1444F57B">
                    <w:rPr>
                      <w:rFonts w:ascii="Aptos" w:eastAsia="Aptos" w:hAnsi="Aptos" w:cs="Aptos"/>
                      <w:color w:val="171717" w:themeColor="background2" w:themeShade="1A"/>
                      <w:sz w:val="16"/>
                      <w:szCs w:val="16"/>
                    </w:rPr>
                    <w:t xml:space="preserve"> </w:t>
                  </w:r>
                  <w:r w:rsidR="00420E68" w:rsidRPr="1444F57B">
                    <w:rPr>
                      <w:rFonts w:ascii="Aptos" w:eastAsia="Aptos" w:hAnsi="Aptos" w:cs="Aptos"/>
                      <w:color w:val="171717" w:themeColor="background2" w:themeShade="1A"/>
                      <w:sz w:val="16"/>
                      <w:szCs w:val="16"/>
                    </w:rPr>
                    <w:t>inhibitor)</w:t>
                  </w:r>
                </w:p>
              </w:tc>
              <w:tc>
                <w:tcPr>
                  <w:tcW w:w="4637" w:type="dxa"/>
                  <w:tcMar>
                    <w:left w:w="105" w:type="dxa"/>
                    <w:right w:w="105" w:type="dxa"/>
                  </w:tcMar>
                  <w:vAlign w:val="center"/>
                </w:tcPr>
                <w:p w14:paraId="48EE8D15" w14:textId="20C3F166"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142839">
                    <w:rPr>
                      <w:color w:val="171717" w:themeColor="background2" w:themeShade="1A"/>
                      <w:sz w:val="16"/>
                      <w:szCs w:val="16"/>
                    </w:rPr>
                    <w:t>March 1</w:t>
                  </w:r>
                  <w:r w:rsidR="00910541">
                    <w:rPr>
                      <w:color w:val="171717" w:themeColor="background2" w:themeShade="1A"/>
                      <w:sz w:val="16"/>
                      <w:szCs w:val="16"/>
                    </w:rPr>
                    <w:t>3</w:t>
                  </w:r>
                  <w:r w:rsidR="00142839" w:rsidRPr="00142839">
                    <w:rPr>
                      <w:color w:val="171717" w:themeColor="background2" w:themeShade="1A"/>
                      <w:sz w:val="16"/>
                      <w:szCs w:val="16"/>
                      <w:vertAlign w:val="superscript"/>
                    </w:rPr>
                    <w:t>th</w:t>
                  </w:r>
                  <w:r w:rsidR="00142839">
                    <w:rPr>
                      <w:color w:val="171717" w:themeColor="background2" w:themeShade="1A"/>
                      <w:sz w:val="16"/>
                      <w:szCs w:val="16"/>
                    </w:rPr>
                    <w:t>, 2026</w:t>
                  </w:r>
                </w:p>
                <w:p w14:paraId="5B8DA44C" w14:textId="16A8A48F" w:rsidR="00A63C55" w:rsidRPr="00A63C55" w:rsidRDefault="00A63C55" w:rsidP="1444F57B">
                  <w:pPr>
                    <w:jc w:val="center"/>
                  </w:pPr>
                  <w:r w:rsidRPr="1444F57B">
                    <w:rPr>
                      <w:b/>
                      <w:bCs/>
                      <w:color w:val="171717" w:themeColor="background2" w:themeShade="1A"/>
                      <w:sz w:val="16"/>
                      <w:szCs w:val="16"/>
                    </w:rPr>
                    <w:t>Source(s):</w:t>
                  </w:r>
                  <w:r w:rsidRPr="1444F57B">
                    <w:rPr>
                      <w:color w:val="171717" w:themeColor="background2" w:themeShade="1A"/>
                      <w:sz w:val="16"/>
                      <w:szCs w:val="16"/>
                    </w:rPr>
                    <w:t xml:space="preserve"> </w:t>
                  </w:r>
                  <w:hyperlink r:id="rId9">
                    <w:r w:rsidR="00DF1538" w:rsidRPr="1444F57B">
                      <w:rPr>
                        <w:rStyle w:val="Hyperlink"/>
                        <w:color w:val="0070C0"/>
                        <w:sz w:val="16"/>
                        <w:szCs w:val="16"/>
                      </w:rPr>
                      <w:t>Novartis press rele</w:t>
                    </w:r>
                    <w:bookmarkStart w:id="0" w:name="_Hlt224323433"/>
                    <w:bookmarkStart w:id="1" w:name="_Hlt224323434"/>
                    <w:r w:rsidR="00DF1538" w:rsidRPr="1444F57B">
                      <w:rPr>
                        <w:rStyle w:val="Hyperlink"/>
                        <w:color w:val="0070C0"/>
                        <w:sz w:val="16"/>
                        <w:szCs w:val="16"/>
                      </w:rPr>
                      <w:t>a</w:t>
                    </w:r>
                    <w:bookmarkEnd w:id="0"/>
                    <w:bookmarkEnd w:id="1"/>
                    <w:r w:rsidR="00DF1538" w:rsidRPr="1444F57B">
                      <w:rPr>
                        <w:rStyle w:val="Hyperlink"/>
                        <w:color w:val="0070C0"/>
                        <w:sz w:val="16"/>
                        <w:szCs w:val="16"/>
                      </w:rPr>
                      <w:t>se</w:t>
                    </w:r>
                  </w:hyperlink>
                  <w:r w:rsidR="000D5679" w:rsidRPr="00A30675">
                    <w:rPr>
                      <w:color w:val="171717" w:themeColor="background2" w:themeShade="1A"/>
                      <w:sz w:val="16"/>
                      <w:szCs w:val="16"/>
                    </w:rPr>
                    <w:t xml:space="preserve">; FDA </w:t>
                  </w:r>
                  <w:hyperlink r:id="rId10" w:history="1">
                    <w:r w:rsidR="000D5679" w:rsidRPr="00A30675">
                      <w:rPr>
                        <w:rStyle w:val="Hyperlink"/>
                        <w:sz w:val="16"/>
                        <w:szCs w:val="16"/>
                      </w:rPr>
                      <w:t>Label</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53131E00" w14:textId="15C1CD90" w:rsidR="002E6873" w:rsidRDefault="00025F91" w:rsidP="002E6873">
            <w:pPr>
              <w:pStyle w:val="ListParagraph"/>
              <w:numPr>
                <w:ilvl w:val="0"/>
                <w:numId w:val="1"/>
              </w:numPr>
              <w:rPr>
                <w:color w:val="171717" w:themeColor="background2" w:themeShade="1A"/>
                <w:sz w:val="22"/>
                <w:szCs w:val="22"/>
              </w:rPr>
            </w:pPr>
            <w:r>
              <w:rPr>
                <w:color w:val="171717" w:themeColor="background2" w:themeShade="1A"/>
                <w:sz w:val="22"/>
                <w:szCs w:val="22"/>
              </w:rPr>
              <w:t>Cosentyx</w:t>
            </w:r>
            <w:r w:rsidR="00CA4035">
              <w:rPr>
                <w:color w:val="171717" w:themeColor="background2" w:themeShade="1A"/>
                <w:sz w:val="22"/>
                <w:szCs w:val="22"/>
              </w:rPr>
              <w:t xml:space="preserve"> receives FDA approval</w:t>
            </w:r>
            <w:r>
              <w:rPr>
                <w:color w:val="171717" w:themeColor="background2" w:themeShade="1A"/>
                <w:sz w:val="22"/>
                <w:szCs w:val="22"/>
              </w:rPr>
              <w:t xml:space="preserve"> for</w:t>
            </w:r>
            <w:r w:rsidR="009421F8" w:rsidRPr="009421F8">
              <w:rPr>
                <w:color w:val="171717" w:themeColor="background2" w:themeShade="1A"/>
                <w:sz w:val="22"/>
                <w:szCs w:val="22"/>
              </w:rPr>
              <w:t xml:space="preserve"> treating pediatric patients </w:t>
            </w:r>
            <w:r w:rsidR="007821AC">
              <w:rPr>
                <w:color w:val="171717" w:themeColor="background2" w:themeShade="1A"/>
                <w:sz w:val="22"/>
                <w:szCs w:val="22"/>
              </w:rPr>
              <w:t>(</w:t>
            </w:r>
            <w:r w:rsidR="009421F8" w:rsidRPr="009421F8">
              <w:rPr>
                <w:color w:val="171717" w:themeColor="background2" w:themeShade="1A"/>
                <w:sz w:val="22"/>
                <w:szCs w:val="22"/>
              </w:rPr>
              <w:t>12</w:t>
            </w:r>
            <w:r w:rsidR="007821AC">
              <w:rPr>
                <w:color w:val="171717" w:themeColor="background2" w:themeShade="1A"/>
                <w:sz w:val="22"/>
                <w:szCs w:val="22"/>
              </w:rPr>
              <w:t>+</w:t>
            </w:r>
            <w:r w:rsidR="009421F8" w:rsidRPr="009421F8">
              <w:rPr>
                <w:color w:val="171717" w:themeColor="background2" w:themeShade="1A"/>
                <w:sz w:val="22"/>
                <w:szCs w:val="22"/>
              </w:rPr>
              <w:t xml:space="preserve"> years</w:t>
            </w:r>
            <w:r w:rsidR="007821AC">
              <w:rPr>
                <w:color w:val="171717" w:themeColor="background2" w:themeShade="1A"/>
                <w:sz w:val="22"/>
                <w:szCs w:val="22"/>
              </w:rPr>
              <w:t>)</w:t>
            </w:r>
            <w:r w:rsidR="009421F8" w:rsidRPr="009421F8">
              <w:rPr>
                <w:color w:val="171717" w:themeColor="background2" w:themeShade="1A"/>
                <w:sz w:val="22"/>
                <w:szCs w:val="22"/>
              </w:rPr>
              <w:t xml:space="preserve"> with moderate to severe hidradenitis suppurativa (HS)</w:t>
            </w:r>
          </w:p>
          <w:p w14:paraId="78AC22CC" w14:textId="447E072D" w:rsidR="00D43349" w:rsidRPr="00092986" w:rsidRDefault="007C52E8" w:rsidP="00873ED7">
            <w:pPr>
              <w:pStyle w:val="ListParagraph"/>
              <w:numPr>
                <w:ilvl w:val="0"/>
                <w:numId w:val="1"/>
              </w:numPr>
              <w:rPr>
                <w:color w:val="000000" w:themeColor="text1"/>
                <w:sz w:val="22"/>
                <w:szCs w:val="22"/>
              </w:rPr>
            </w:pPr>
            <w:r>
              <w:rPr>
                <w:color w:val="171717" w:themeColor="background2" w:themeShade="1A"/>
                <w:sz w:val="22"/>
                <w:szCs w:val="22"/>
              </w:rPr>
              <w:t xml:space="preserve">The approval </w:t>
            </w:r>
            <w:r w:rsidR="00D43349" w:rsidRPr="00D43349">
              <w:rPr>
                <w:color w:val="171717" w:themeColor="background2" w:themeShade="1A"/>
                <w:sz w:val="22"/>
                <w:szCs w:val="22"/>
              </w:rPr>
              <w:t>is supported by well-controlled adult studies and pharmacokinetic</w:t>
            </w:r>
            <w:r>
              <w:rPr>
                <w:color w:val="171717" w:themeColor="background2" w:themeShade="1A"/>
                <w:sz w:val="22"/>
                <w:szCs w:val="22"/>
              </w:rPr>
              <w:t xml:space="preserve"> (PK)</w:t>
            </w:r>
            <w:r w:rsidR="00D43349" w:rsidRPr="00D43349">
              <w:rPr>
                <w:color w:val="171717" w:themeColor="background2" w:themeShade="1A"/>
                <w:sz w:val="22"/>
                <w:szCs w:val="22"/>
              </w:rPr>
              <w:t xml:space="preserve"> modeling extrapolated from adult HS and </w:t>
            </w:r>
            <w:r>
              <w:rPr>
                <w:color w:val="171717" w:themeColor="background2" w:themeShade="1A"/>
                <w:sz w:val="22"/>
                <w:szCs w:val="22"/>
              </w:rPr>
              <w:t>PsO</w:t>
            </w:r>
            <w:r w:rsidR="00D43349" w:rsidRPr="00D43349">
              <w:rPr>
                <w:color w:val="171717" w:themeColor="background2" w:themeShade="1A"/>
                <w:sz w:val="22"/>
                <w:szCs w:val="22"/>
              </w:rPr>
              <w:t xml:space="preserve"> clinical trials, as well as pediatric clinical trial data from other approved indications</w:t>
            </w:r>
          </w:p>
          <w:p w14:paraId="3F462173" w14:textId="77777777" w:rsidR="00B56195" w:rsidRPr="00B56195" w:rsidRDefault="00B56195" w:rsidP="00B56195">
            <w:pPr>
              <w:pStyle w:val="ListParagraph"/>
              <w:rPr>
                <w:color w:val="002060"/>
                <w:sz w:val="22"/>
                <w:szCs w:val="22"/>
              </w:rPr>
            </w:pPr>
          </w:p>
          <w:p w14:paraId="120E1270" w14:textId="611E22A4" w:rsidR="002E6873" w:rsidRPr="002E6873" w:rsidRDefault="002E6873" w:rsidP="002E6873">
            <w:pPr>
              <w:rPr>
                <w:b/>
                <w:bCs/>
                <w:color w:val="002060"/>
                <w:sz w:val="28"/>
                <w:szCs w:val="28"/>
              </w:rPr>
            </w:pPr>
            <w:r>
              <w:rPr>
                <w:b/>
                <w:bCs/>
                <w:color w:val="002060"/>
                <w:sz w:val="28"/>
                <w:szCs w:val="28"/>
              </w:rPr>
              <w:t xml:space="preserve">Impact (CI PoV): </w:t>
            </w:r>
            <w:r w:rsidR="00B0180B" w:rsidRPr="00B0180B">
              <w:rPr>
                <w:b/>
                <w:bCs/>
                <w:color w:val="C00000"/>
                <w:sz w:val="28"/>
                <w:szCs w:val="28"/>
              </w:rPr>
              <w:t>HIGH</w:t>
            </w:r>
          </w:p>
          <w:p w14:paraId="31E2BAFF" w14:textId="50FCBC81" w:rsidR="00B038CF" w:rsidRDefault="00A833D8" w:rsidP="000F2F72">
            <w:pPr>
              <w:pStyle w:val="ListParagraph"/>
              <w:numPr>
                <w:ilvl w:val="0"/>
                <w:numId w:val="1"/>
              </w:numPr>
              <w:rPr>
                <w:color w:val="171717" w:themeColor="background2" w:themeShade="1A"/>
                <w:sz w:val="22"/>
                <w:szCs w:val="22"/>
              </w:rPr>
            </w:pPr>
            <w:r>
              <w:rPr>
                <w:color w:val="171717" w:themeColor="background2" w:themeShade="1A"/>
                <w:sz w:val="22"/>
                <w:szCs w:val="22"/>
              </w:rPr>
              <w:t>Cosentyx</w:t>
            </w:r>
            <w:r w:rsidR="00D47EFF">
              <w:rPr>
                <w:color w:val="171717" w:themeColor="background2" w:themeShade="1A"/>
                <w:sz w:val="22"/>
                <w:szCs w:val="22"/>
              </w:rPr>
              <w:t xml:space="preserve"> </w:t>
            </w:r>
            <w:r w:rsidR="00534287">
              <w:rPr>
                <w:color w:val="171717" w:themeColor="background2" w:themeShade="1A"/>
                <w:sz w:val="22"/>
                <w:szCs w:val="22"/>
              </w:rPr>
              <w:t>is now the</w:t>
            </w:r>
            <w:r w:rsidR="0047278E">
              <w:rPr>
                <w:color w:val="171717" w:themeColor="background2" w:themeShade="1A"/>
                <w:sz w:val="22"/>
                <w:szCs w:val="22"/>
              </w:rPr>
              <w:t xml:space="preserve"> only IL-17A inhibitor </w:t>
            </w:r>
            <w:r w:rsidR="004726D1">
              <w:rPr>
                <w:color w:val="171717" w:themeColor="background2" w:themeShade="1A"/>
                <w:sz w:val="22"/>
                <w:szCs w:val="22"/>
              </w:rPr>
              <w:t>approved</w:t>
            </w:r>
            <w:r w:rsidR="00BD3FAA">
              <w:rPr>
                <w:color w:val="171717" w:themeColor="background2" w:themeShade="1A"/>
                <w:sz w:val="22"/>
                <w:szCs w:val="22"/>
              </w:rPr>
              <w:t xml:space="preserve"> for </w:t>
            </w:r>
            <w:r w:rsidR="00EA1CE4" w:rsidRPr="00EA1CE4">
              <w:rPr>
                <w:color w:val="171717" w:themeColor="background2" w:themeShade="1A"/>
                <w:sz w:val="22"/>
                <w:szCs w:val="22"/>
              </w:rPr>
              <w:t>pediatric patients 12</w:t>
            </w:r>
            <w:r w:rsidR="00534287">
              <w:rPr>
                <w:color w:val="171717" w:themeColor="background2" w:themeShade="1A"/>
                <w:sz w:val="22"/>
                <w:szCs w:val="22"/>
              </w:rPr>
              <w:t>+</w:t>
            </w:r>
            <w:r w:rsidR="00EA1CE4" w:rsidRPr="00EA1CE4">
              <w:rPr>
                <w:color w:val="171717" w:themeColor="background2" w:themeShade="1A"/>
                <w:sz w:val="22"/>
                <w:szCs w:val="22"/>
              </w:rPr>
              <w:t xml:space="preserve"> years </w:t>
            </w:r>
            <w:r w:rsidR="00EA1CE4">
              <w:rPr>
                <w:color w:val="171717" w:themeColor="background2" w:themeShade="1A"/>
                <w:sz w:val="22"/>
                <w:szCs w:val="22"/>
              </w:rPr>
              <w:t>with moderate-to-severe HS</w:t>
            </w:r>
          </w:p>
          <w:p w14:paraId="559B4D4E" w14:textId="0FE3E0BB" w:rsidR="00EA7E66" w:rsidRPr="007416F3" w:rsidRDefault="00EA7E66" w:rsidP="000F2F72">
            <w:pPr>
              <w:pStyle w:val="ListParagraph"/>
              <w:numPr>
                <w:ilvl w:val="1"/>
                <w:numId w:val="1"/>
              </w:numPr>
              <w:rPr>
                <w:color w:val="171717" w:themeColor="background2" w:themeShade="1A"/>
                <w:sz w:val="22"/>
                <w:szCs w:val="22"/>
              </w:rPr>
            </w:pPr>
            <w:r>
              <w:rPr>
                <w:color w:val="171717" w:themeColor="background2" w:themeShade="1A"/>
                <w:sz w:val="22"/>
                <w:szCs w:val="22"/>
              </w:rPr>
              <w:t>Bimzelx (</w:t>
            </w:r>
            <w:r w:rsidR="00407C10">
              <w:rPr>
                <w:color w:val="171717" w:themeColor="background2" w:themeShade="1A"/>
                <w:sz w:val="22"/>
                <w:szCs w:val="22"/>
              </w:rPr>
              <w:t xml:space="preserve">IL-17A/F inhibitor) is currently approved for adults and is being evaluated in a </w:t>
            </w:r>
            <w:hyperlink r:id="rId11" w:history="1">
              <w:r w:rsidR="00407C10" w:rsidRPr="00454098">
                <w:rPr>
                  <w:rStyle w:val="Hyperlink"/>
                  <w:color w:val="0070C0"/>
                  <w:sz w:val="22"/>
                  <w:szCs w:val="22"/>
                </w:rPr>
                <w:t>Phase 3</w:t>
              </w:r>
            </w:hyperlink>
            <w:r w:rsidR="00E3354B">
              <w:rPr>
                <w:color w:val="171717" w:themeColor="background2" w:themeShade="1A"/>
                <w:sz w:val="22"/>
                <w:szCs w:val="22"/>
              </w:rPr>
              <w:t xml:space="preserve"> </w:t>
            </w:r>
            <w:r w:rsidR="00A93815">
              <w:rPr>
                <w:color w:val="171717" w:themeColor="background2" w:themeShade="1A"/>
                <w:sz w:val="22"/>
                <w:szCs w:val="22"/>
              </w:rPr>
              <w:t>pediatric trial</w:t>
            </w:r>
            <w:r w:rsidR="00454098">
              <w:rPr>
                <w:color w:val="171717" w:themeColor="background2" w:themeShade="1A"/>
                <w:sz w:val="22"/>
                <w:szCs w:val="22"/>
              </w:rPr>
              <w:t xml:space="preserve">; </w:t>
            </w:r>
            <w:r w:rsidR="00454098" w:rsidRPr="00454098">
              <w:rPr>
                <w:i/>
                <w:iCs/>
                <w:color w:val="0070C0"/>
                <w:sz w:val="22"/>
                <w:szCs w:val="22"/>
              </w:rPr>
              <w:t>CI expects US/EU approval in Q2 2028</w:t>
            </w:r>
          </w:p>
          <w:p w14:paraId="3A47B2BD" w14:textId="61E7CD67" w:rsidR="00093C38" w:rsidRPr="00454098" w:rsidRDefault="009978C5" w:rsidP="000F2F72">
            <w:pPr>
              <w:pStyle w:val="ListParagraph"/>
              <w:numPr>
                <w:ilvl w:val="0"/>
                <w:numId w:val="1"/>
              </w:numPr>
              <w:rPr>
                <w:color w:val="171717" w:themeColor="background2" w:themeShade="1A"/>
                <w:sz w:val="22"/>
                <w:szCs w:val="22"/>
              </w:rPr>
            </w:pPr>
            <w:r>
              <w:rPr>
                <w:color w:val="171717" w:themeColor="background2" w:themeShade="1A"/>
                <w:sz w:val="22"/>
                <w:szCs w:val="22"/>
              </w:rPr>
              <w:t xml:space="preserve">This approval further strengthens positioning of Cosentyx in the </w:t>
            </w:r>
            <w:r w:rsidR="00677BE4">
              <w:rPr>
                <w:color w:val="171717" w:themeColor="background2" w:themeShade="1A"/>
                <w:sz w:val="22"/>
                <w:szCs w:val="22"/>
              </w:rPr>
              <w:t xml:space="preserve">broader </w:t>
            </w:r>
            <w:r>
              <w:rPr>
                <w:color w:val="171717" w:themeColor="background2" w:themeShade="1A"/>
                <w:sz w:val="22"/>
                <w:szCs w:val="22"/>
              </w:rPr>
              <w:t xml:space="preserve">immunology space with </w:t>
            </w:r>
            <w:r w:rsidR="00C01970">
              <w:rPr>
                <w:color w:val="171717" w:themeColor="background2" w:themeShade="1A"/>
                <w:sz w:val="22"/>
                <w:szCs w:val="22"/>
              </w:rPr>
              <w:t xml:space="preserve">“fourth pediatric indication” </w:t>
            </w:r>
            <w:r w:rsidR="005A79E7">
              <w:rPr>
                <w:color w:val="171717" w:themeColor="background2" w:themeShade="1A"/>
                <w:sz w:val="22"/>
                <w:szCs w:val="22"/>
              </w:rPr>
              <w:t>after PsO (6</w:t>
            </w:r>
            <w:r w:rsidR="0058211B">
              <w:rPr>
                <w:color w:val="171717" w:themeColor="background2" w:themeShade="1A"/>
                <w:sz w:val="22"/>
                <w:szCs w:val="22"/>
              </w:rPr>
              <w:t>+</w:t>
            </w:r>
            <w:r w:rsidR="005A79E7">
              <w:rPr>
                <w:color w:val="171717" w:themeColor="background2" w:themeShade="1A"/>
                <w:sz w:val="22"/>
                <w:szCs w:val="22"/>
              </w:rPr>
              <w:t xml:space="preserve"> years), PsA (2</w:t>
            </w:r>
            <w:r w:rsidR="0058211B">
              <w:rPr>
                <w:color w:val="171717" w:themeColor="background2" w:themeShade="1A"/>
                <w:sz w:val="22"/>
                <w:szCs w:val="22"/>
              </w:rPr>
              <w:t>+</w:t>
            </w:r>
            <w:r w:rsidR="005A79E7">
              <w:rPr>
                <w:color w:val="171717" w:themeColor="background2" w:themeShade="1A"/>
                <w:sz w:val="22"/>
                <w:szCs w:val="22"/>
              </w:rPr>
              <w:t xml:space="preserve"> years</w:t>
            </w:r>
            <w:r w:rsidR="00677BE4">
              <w:rPr>
                <w:color w:val="171717" w:themeColor="background2" w:themeShade="1A"/>
                <w:sz w:val="22"/>
                <w:szCs w:val="22"/>
              </w:rPr>
              <w:t>), and ERA (4</w:t>
            </w:r>
            <w:r w:rsidR="0058211B">
              <w:rPr>
                <w:color w:val="171717" w:themeColor="background2" w:themeShade="1A"/>
                <w:sz w:val="22"/>
                <w:szCs w:val="22"/>
              </w:rPr>
              <w:t>+</w:t>
            </w:r>
            <w:r w:rsidR="00677BE4">
              <w:rPr>
                <w:color w:val="171717" w:themeColor="background2" w:themeShade="1A"/>
                <w:sz w:val="22"/>
                <w:szCs w:val="22"/>
              </w:rPr>
              <w:t xml:space="preserve"> years)</w:t>
            </w:r>
            <w:r w:rsidR="005A79E7">
              <w:rPr>
                <w:color w:val="171717" w:themeColor="background2" w:themeShade="1A"/>
                <w:sz w:val="22"/>
                <w:szCs w:val="22"/>
              </w:rPr>
              <w:t xml:space="preserve"> </w:t>
            </w:r>
          </w:p>
          <w:p w14:paraId="06010A2F" w14:textId="77777777" w:rsidR="000D3367" w:rsidRDefault="000D3367" w:rsidP="002E6873">
            <w:pPr>
              <w:rPr>
                <w:b/>
                <w:bCs/>
                <w:color w:val="002060"/>
                <w:sz w:val="28"/>
                <w:szCs w:val="28"/>
              </w:rPr>
            </w:pPr>
          </w:p>
          <w:p w14:paraId="3794E578" w14:textId="100AB651" w:rsidR="002E6873" w:rsidRPr="002E6873" w:rsidRDefault="00B533F9" w:rsidP="002E6873">
            <w:pPr>
              <w:rPr>
                <w:b/>
                <w:bCs/>
                <w:color w:val="002060"/>
                <w:sz w:val="28"/>
                <w:szCs w:val="28"/>
              </w:rPr>
            </w:pPr>
            <w:r>
              <w:rPr>
                <w:b/>
                <w:bCs/>
                <w:color w:val="002060"/>
                <w:sz w:val="28"/>
                <w:szCs w:val="28"/>
              </w:rPr>
              <w:t>Why it matters</w:t>
            </w:r>
            <w:r w:rsidR="0058211B">
              <w:rPr>
                <w:b/>
                <w:bCs/>
                <w:color w:val="002060"/>
                <w:sz w:val="28"/>
                <w:szCs w:val="28"/>
              </w:rPr>
              <w:t>:</w:t>
            </w:r>
          </w:p>
          <w:p w14:paraId="68B2231F" w14:textId="1695D738" w:rsidR="00FD021B" w:rsidRPr="00FD021B" w:rsidRDefault="001042D0" w:rsidP="000F2F72">
            <w:pPr>
              <w:pStyle w:val="ListParagraph"/>
              <w:numPr>
                <w:ilvl w:val="0"/>
                <w:numId w:val="1"/>
              </w:numPr>
              <w:spacing w:line="278" w:lineRule="auto"/>
              <w:rPr>
                <w:color w:val="002060"/>
                <w:sz w:val="22"/>
                <w:szCs w:val="22"/>
              </w:rPr>
            </w:pPr>
            <w:r>
              <w:rPr>
                <w:color w:val="171717" w:themeColor="background2" w:themeShade="1A"/>
                <w:sz w:val="22"/>
                <w:szCs w:val="22"/>
              </w:rPr>
              <w:t>Expansion of indication for</w:t>
            </w:r>
            <w:r w:rsidR="0013149F">
              <w:rPr>
                <w:color w:val="171717" w:themeColor="background2" w:themeShade="1A"/>
                <w:sz w:val="22"/>
                <w:szCs w:val="22"/>
              </w:rPr>
              <w:t xml:space="preserve"> Cosentyx </w:t>
            </w:r>
            <w:r w:rsidR="00362621">
              <w:rPr>
                <w:color w:val="171717" w:themeColor="background2" w:themeShade="1A"/>
                <w:sz w:val="22"/>
                <w:szCs w:val="22"/>
              </w:rPr>
              <w:t xml:space="preserve">to </w:t>
            </w:r>
            <w:r>
              <w:rPr>
                <w:color w:val="171717" w:themeColor="background2" w:themeShade="1A"/>
                <w:sz w:val="22"/>
                <w:szCs w:val="22"/>
              </w:rPr>
              <w:t>treat pediatric patients</w:t>
            </w:r>
            <w:r w:rsidR="00FB4696">
              <w:rPr>
                <w:color w:val="171717" w:themeColor="background2" w:themeShade="1A"/>
                <w:sz w:val="22"/>
                <w:szCs w:val="22"/>
              </w:rPr>
              <w:t xml:space="preserve"> (12</w:t>
            </w:r>
            <w:r w:rsidR="00A21D48">
              <w:rPr>
                <w:color w:val="171717" w:themeColor="background2" w:themeShade="1A"/>
                <w:sz w:val="22"/>
                <w:szCs w:val="22"/>
              </w:rPr>
              <w:t>+</w:t>
            </w:r>
            <w:r w:rsidR="00FB4696">
              <w:rPr>
                <w:color w:val="171717" w:themeColor="background2" w:themeShade="1A"/>
                <w:sz w:val="22"/>
                <w:szCs w:val="22"/>
              </w:rPr>
              <w:t xml:space="preserve"> years)</w:t>
            </w:r>
            <w:r>
              <w:rPr>
                <w:color w:val="171717" w:themeColor="background2" w:themeShade="1A"/>
                <w:sz w:val="22"/>
                <w:szCs w:val="22"/>
              </w:rPr>
              <w:t xml:space="preserve"> with moderate-to-severe HS </w:t>
            </w:r>
            <w:r w:rsidR="00754870" w:rsidRPr="00754870">
              <w:rPr>
                <w:color w:val="171717" w:themeColor="background2" w:themeShade="1A"/>
                <w:sz w:val="22"/>
                <w:szCs w:val="22"/>
              </w:rPr>
              <w:t>enables earlier intervention and meaningfully expands the treatment landscape, which currently has limited effective options for this population</w:t>
            </w:r>
            <w:r w:rsidR="00FB4696">
              <w:rPr>
                <w:color w:val="171717" w:themeColor="background2" w:themeShade="1A"/>
                <w:sz w:val="22"/>
                <w:szCs w:val="22"/>
              </w:rPr>
              <w:t xml:space="preserve"> </w:t>
            </w:r>
          </w:p>
          <w:p w14:paraId="725DFF39" w14:textId="78618D59" w:rsidR="002E6873" w:rsidRPr="00527DE0" w:rsidRDefault="00FD021B" w:rsidP="000F2F72">
            <w:pPr>
              <w:pStyle w:val="ListParagraph"/>
              <w:numPr>
                <w:ilvl w:val="1"/>
                <w:numId w:val="1"/>
              </w:numPr>
              <w:spacing w:line="278" w:lineRule="auto"/>
              <w:rPr>
                <w:color w:val="002060"/>
                <w:sz w:val="22"/>
                <w:szCs w:val="22"/>
              </w:rPr>
            </w:pPr>
            <w:r>
              <w:rPr>
                <w:color w:val="171717" w:themeColor="background2" w:themeShade="1A"/>
                <w:sz w:val="22"/>
                <w:szCs w:val="22"/>
              </w:rPr>
              <w:t>Novartis note</w:t>
            </w:r>
            <w:r w:rsidR="00AF04CE">
              <w:rPr>
                <w:color w:val="171717" w:themeColor="background2" w:themeShade="1A"/>
                <w:sz w:val="22"/>
                <w:szCs w:val="22"/>
              </w:rPr>
              <w:t xml:space="preserve">d HS affects </w:t>
            </w:r>
            <w:r w:rsidR="00AF04CE" w:rsidRPr="00AF04CE">
              <w:rPr>
                <w:color w:val="171717" w:themeColor="background2" w:themeShade="1A"/>
                <w:sz w:val="22"/>
                <w:szCs w:val="22"/>
              </w:rPr>
              <w:t>as many as 1 in 100 people worldwide and often begins around puberty</w:t>
            </w:r>
            <w:r w:rsidR="00AF04CE">
              <w:rPr>
                <w:color w:val="171717" w:themeColor="background2" w:themeShade="1A"/>
                <w:sz w:val="22"/>
                <w:szCs w:val="22"/>
              </w:rPr>
              <w:t xml:space="preserve"> with </w:t>
            </w:r>
            <w:r w:rsidR="00FB4696">
              <w:rPr>
                <w:color w:val="171717" w:themeColor="background2" w:themeShade="1A"/>
                <w:sz w:val="22"/>
                <w:szCs w:val="22"/>
              </w:rPr>
              <w:t>&gt;50% patients developing symptoms during adolescence</w:t>
            </w:r>
            <w:r w:rsidR="00AF04CE">
              <w:rPr>
                <w:color w:val="171717" w:themeColor="background2" w:themeShade="1A"/>
                <w:sz w:val="22"/>
                <w:szCs w:val="22"/>
              </w:rPr>
              <w:t xml:space="preserve"> </w:t>
            </w:r>
            <w:r w:rsidR="00362621">
              <w:rPr>
                <w:color w:val="171717" w:themeColor="background2" w:themeShade="1A"/>
                <w:sz w:val="22"/>
                <w:szCs w:val="22"/>
              </w:rPr>
              <w:t xml:space="preserve"> </w:t>
            </w:r>
          </w:p>
          <w:p w14:paraId="25F5D18E" w14:textId="5A4D4020" w:rsidR="00527DE0" w:rsidRPr="000F2F72" w:rsidRDefault="00527DE0" w:rsidP="000F2F72">
            <w:pPr>
              <w:pStyle w:val="ListParagraph"/>
              <w:numPr>
                <w:ilvl w:val="0"/>
                <w:numId w:val="1"/>
              </w:numPr>
              <w:spacing w:line="278" w:lineRule="auto"/>
              <w:rPr>
                <w:color w:val="002060"/>
                <w:sz w:val="22"/>
                <w:szCs w:val="22"/>
              </w:rPr>
            </w:pPr>
            <w:r>
              <w:rPr>
                <w:color w:val="171717" w:themeColor="background2" w:themeShade="1A"/>
                <w:sz w:val="22"/>
                <w:szCs w:val="22"/>
              </w:rPr>
              <w:t xml:space="preserve">Simultaneously, </w:t>
            </w:r>
            <w:r w:rsidR="00F44CF5" w:rsidRPr="00F44CF5">
              <w:rPr>
                <w:color w:val="171717" w:themeColor="background2" w:themeShade="1A"/>
                <w:sz w:val="22"/>
                <w:szCs w:val="22"/>
              </w:rPr>
              <w:t>the new indication reinforces the well-established safety and efficacy profile of Cosentyx, approved since 2015 across multiple immunology indications in adult and pediatric populations</w:t>
            </w:r>
            <w:r w:rsidR="005A7454">
              <w:rPr>
                <w:color w:val="171717" w:themeColor="background2" w:themeShade="1A"/>
                <w:sz w:val="22"/>
                <w:szCs w:val="22"/>
              </w:rPr>
              <w:t xml:space="preserve"> </w:t>
            </w:r>
            <w:r>
              <w:rPr>
                <w:color w:val="171717" w:themeColor="background2" w:themeShade="1A"/>
                <w:sz w:val="22"/>
                <w:szCs w:val="22"/>
              </w:rPr>
              <w:t xml:space="preserve">  </w:t>
            </w:r>
          </w:p>
          <w:p w14:paraId="732D5B1F" w14:textId="77777777" w:rsidR="000F2F72" w:rsidRPr="0069530B" w:rsidRDefault="000F2F72" w:rsidP="000F2F72">
            <w:pPr>
              <w:pStyle w:val="ListParagraph"/>
              <w:spacing w:line="278" w:lineRule="auto"/>
              <w:rPr>
                <w:color w:val="002060"/>
                <w:sz w:val="22"/>
                <w:szCs w:val="22"/>
              </w:rPr>
            </w:pPr>
          </w:p>
          <w:p w14:paraId="6CA81F79" w14:textId="6CDB3F46"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186617D6" w14:textId="44D5D4FE" w:rsidR="00B0180B" w:rsidRPr="00B4341A" w:rsidRDefault="00A86D40" w:rsidP="00B0180B">
            <w:pPr>
              <w:pStyle w:val="ListParagraph"/>
              <w:numPr>
                <w:ilvl w:val="0"/>
                <w:numId w:val="1"/>
              </w:numPr>
              <w:rPr>
                <w:color w:val="002060"/>
                <w:sz w:val="22"/>
                <w:szCs w:val="22"/>
              </w:rPr>
            </w:pPr>
            <w:r>
              <w:rPr>
                <w:color w:val="000000" w:themeColor="text1"/>
                <w:sz w:val="22"/>
                <w:szCs w:val="22"/>
              </w:rPr>
              <w:t xml:space="preserve">The </w:t>
            </w:r>
            <w:r w:rsidR="00B4341A">
              <w:rPr>
                <w:color w:val="000000" w:themeColor="text1"/>
                <w:sz w:val="22"/>
                <w:szCs w:val="22"/>
              </w:rPr>
              <w:t>approval</w:t>
            </w:r>
            <w:r w:rsidR="00B4341A" w:rsidRPr="00B4341A">
              <w:rPr>
                <w:color w:val="000000" w:themeColor="text1"/>
                <w:sz w:val="22"/>
                <w:szCs w:val="22"/>
              </w:rPr>
              <w:t xml:space="preserve"> of Cosentyx in patients 12</w:t>
            </w:r>
            <w:r w:rsidR="00F93FB0">
              <w:rPr>
                <w:color w:val="000000" w:themeColor="text1"/>
                <w:sz w:val="22"/>
                <w:szCs w:val="22"/>
              </w:rPr>
              <w:t>+</w:t>
            </w:r>
            <w:r w:rsidR="00B4341A" w:rsidRPr="00B4341A">
              <w:rPr>
                <w:color w:val="000000" w:themeColor="text1"/>
                <w:sz w:val="22"/>
                <w:szCs w:val="22"/>
              </w:rPr>
              <w:t xml:space="preserve"> years with moderate-to-severe </w:t>
            </w:r>
            <w:r w:rsidR="00B4341A">
              <w:rPr>
                <w:color w:val="000000" w:themeColor="text1"/>
                <w:sz w:val="22"/>
                <w:szCs w:val="22"/>
              </w:rPr>
              <w:t>HS</w:t>
            </w:r>
            <w:r w:rsidR="00B4341A" w:rsidRPr="00B4341A">
              <w:rPr>
                <w:color w:val="000000" w:themeColor="text1"/>
                <w:sz w:val="22"/>
                <w:szCs w:val="22"/>
              </w:rPr>
              <w:t xml:space="preserve"> (≥30 kg) is supported by adult HS studies, PK modeling from adult HS and </w:t>
            </w:r>
            <w:r w:rsidR="00B4341A">
              <w:rPr>
                <w:color w:val="000000" w:themeColor="text1"/>
                <w:sz w:val="22"/>
                <w:szCs w:val="22"/>
              </w:rPr>
              <w:t>PsO</w:t>
            </w:r>
            <w:r w:rsidR="00B4341A" w:rsidRPr="00B4341A">
              <w:rPr>
                <w:color w:val="000000" w:themeColor="text1"/>
                <w:sz w:val="22"/>
                <w:szCs w:val="22"/>
              </w:rPr>
              <w:t xml:space="preserve"> trials, and pediatric data from other approved indications</w:t>
            </w:r>
          </w:p>
          <w:p w14:paraId="455AB6BC" w14:textId="3E952F42" w:rsidR="00B4341A" w:rsidRDefault="0029244A" w:rsidP="00B4341A">
            <w:pPr>
              <w:pStyle w:val="ListParagraph"/>
              <w:numPr>
                <w:ilvl w:val="1"/>
                <w:numId w:val="1"/>
              </w:numPr>
              <w:rPr>
                <w:color w:val="0E2841" w:themeColor="text2"/>
                <w:sz w:val="22"/>
                <w:szCs w:val="22"/>
              </w:rPr>
            </w:pPr>
            <w:r w:rsidRPr="003326F2">
              <w:rPr>
                <w:sz w:val="22"/>
                <w:szCs w:val="22"/>
              </w:rPr>
              <w:t>HS:</w:t>
            </w:r>
            <w:r w:rsidR="00D132C5" w:rsidRPr="003326F2">
              <w:rPr>
                <w:sz w:val="22"/>
                <w:szCs w:val="22"/>
              </w:rPr>
              <w:t xml:space="preserve"> Phase 3</w:t>
            </w:r>
            <w:r w:rsidRPr="003326F2">
              <w:rPr>
                <w:sz w:val="22"/>
                <w:szCs w:val="22"/>
              </w:rPr>
              <w:t xml:space="preserve"> </w:t>
            </w:r>
            <w:hyperlink r:id="rId12" w:history="1">
              <w:r w:rsidRPr="006975E8">
                <w:rPr>
                  <w:rStyle w:val="Hyperlink"/>
                  <w:color w:val="0070C0"/>
                  <w:sz w:val="22"/>
                  <w:szCs w:val="22"/>
                </w:rPr>
                <w:t>SUNSHINE</w:t>
              </w:r>
            </w:hyperlink>
            <w:r w:rsidRPr="006975E8">
              <w:rPr>
                <w:color w:val="0070C0"/>
                <w:sz w:val="22"/>
                <w:szCs w:val="22"/>
              </w:rPr>
              <w:t xml:space="preserve"> </w:t>
            </w:r>
            <w:r w:rsidRPr="003326F2">
              <w:rPr>
                <w:sz w:val="22"/>
                <w:szCs w:val="22"/>
              </w:rPr>
              <w:t xml:space="preserve">and </w:t>
            </w:r>
            <w:hyperlink r:id="rId13" w:history="1">
              <w:r w:rsidRPr="006975E8">
                <w:rPr>
                  <w:rStyle w:val="Hyperlink"/>
                  <w:color w:val="0070C0"/>
                  <w:sz w:val="22"/>
                  <w:szCs w:val="22"/>
                </w:rPr>
                <w:t>SUNRISE</w:t>
              </w:r>
            </w:hyperlink>
            <w:r w:rsidR="008B06A5">
              <w:rPr>
                <w:color w:val="0070C0"/>
                <w:sz w:val="22"/>
                <w:szCs w:val="22"/>
              </w:rPr>
              <w:t xml:space="preserve"> </w:t>
            </w:r>
            <w:r w:rsidR="008B06A5" w:rsidRPr="003326F2">
              <w:rPr>
                <w:sz w:val="22"/>
                <w:szCs w:val="22"/>
              </w:rPr>
              <w:t xml:space="preserve">supported approval in adults </w:t>
            </w:r>
          </w:p>
          <w:p w14:paraId="49D049BB" w14:textId="62EEE388" w:rsidR="00D23E3A" w:rsidRPr="003326F2" w:rsidRDefault="00D132C5" w:rsidP="00B4341A">
            <w:pPr>
              <w:pStyle w:val="ListParagraph"/>
              <w:numPr>
                <w:ilvl w:val="1"/>
                <w:numId w:val="1"/>
              </w:numPr>
              <w:rPr>
                <w:sz w:val="22"/>
                <w:szCs w:val="22"/>
              </w:rPr>
            </w:pPr>
            <w:r w:rsidRPr="003326F2">
              <w:rPr>
                <w:sz w:val="22"/>
                <w:szCs w:val="22"/>
              </w:rPr>
              <w:t xml:space="preserve">PsO: Phase 3 </w:t>
            </w:r>
            <w:hyperlink r:id="rId14" w:history="1">
              <w:r w:rsidR="007C12FE" w:rsidRPr="00757690">
                <w:rPr>
                  <w:rStyle w:val="Hyperlink"/>
                  <w:color w:val="0070C0"/>
                  <w:sz w:val="22"/>
                  <w:szCs w:val="22"/>
                </w:rPr>
                <w:t>ERASURE</w:t>
              </w:r>
            </w:hyperlink>
            <w:r w:rsidR="007C12FE">
              <w:rPr>
                <w:color w:val="0E2841" w:themeColor="text2"/>
                <w:sz w:val="22"/>
                <w:szCs w:val="22"/>
              </w:rPr>
              <w:t>,</w:t>
            </w:r>
            <w:r w:rsidR="009F1171">
              <w:rPr>
                <w:color w:val="0E2841" w:themeColor="text2"/>
                <w:sz w:val="22"/>
                <w:szCs w:val="22"/>
              </w:rPr>
              <w:t xml:space="preserve"> </w:t>
            </w:r>
            <w:hyperlink r:id="rId15" w:history="1">
              <w:r w:rsidR="009F1171" w:rsidRPr="00757690">
                <w:rPr>
                  <w:rStyle w:val="Hyperlink"/>
                  <w:color w:val="0070C0"/>
                  <w:sz w:val="22"/>
                  <w:szCs w:val="22"/>
                </w:rPr>
                <w:t>FIXTURE</w:t>
              </w:r>
            </w:hyperlink>
            <w:r w:rsidR="009F1171">
              <w:rPr>
                <w:color w:val="0E2841" w:themeColor="text2"/>
                <w:sz w:val="22"/>
                <w:szCs w:val="22"/>
              </w:rPr>
              <w:t>,</w:t>
            </w:r>
            <w:r w:rsidR="00DC2A38">
              <w:rPr>
                <w:color w:val="0E2841" w:themeColor="text2"/>
                <w:sz w:val="22"/>
                <w:szCs w:val="22"/>
              </w:rPr>
              <w:t xml:space="preserve"> </w:t>
            </w:r>
            <w:hyperlink r:id="rId16" w:history="1">
              <w:r w:rsidR="00DC2A38" w:rsidRPr="00757690">
                <w:rPr>
                  <w:rStyle w:val="Hyperlink"/>
                  <w:color w:val="0070C0"/>
                  <w:sz w:val="22"/>
                  <w:szCs w:val="22"/>
                </w:rPr>
                <w:t>FEATURE</w:t>
              </w:r>
            </w:hyperlink>
            <w:r w:rsidR="00DC2A38" w:rsidRPr="003326F2">
              <w:rPr>
                <w:sz w:val="22"/>
                <w:szCs w:val="22"/>
              </w:rPr>
              <w:t xml:space="preserve">, </w:t>
            </w:r>
            <w:r w:rsidR="009F1171" w:rsidRPr="003326F2">
              <w:rPr>
                <w:sz w:val="22"/>
                <w:szCs w:val="22"/>
              </w:rPr>
              <w:t xml:space="preserve"> </w:t>
            </w:r>
            <w:r w:rsidR="0002240B" w:rsidRPr="003326F2">
              <w:rPr>
                <w:sz w:val="22"/>
                <w:szCs w:val="22"/>
              </w:rPr>
              <w:t xml:space="preserve">and </w:t>
            </w:r>
            <w:hyperlink r:id="rId17" w:history="1">
              <w:r w:rsidR="0002240B" w:rsidRPr="00757690">
                <w:rPr>
                  <w:rStyle w:val="Hyperlink"/>
                  <w:color w:val="0070C0"/>
                  <w:sz w:val="22"/>
                  <w:szCs w:val="22"/>
                </w:rPr>
                <w:t>JUNCTURE</w:t>
              </w:r>
            </w:hyperlink>
            <w:r w:rsidR="0002240B">
              <w:rPr>
                <w:color w:val="0E2841" w:themeColor="text2"/>
                <w:sz w:val="22"/>
                <w:szCs w:val="22"/>
              </w:rPr>
              <w:t xml:space="preserve"> </w:t>
            </w:r>
            <w:r w:rsidR="0002240B" w:rsidRPr="003326F2">
              <w:rPr>
                <w:sz w:val="22"/>
                <w:szCs w:val="22"/>
              </w:rPr>
              <w:t xml:space="preserve">supported approval in adults </w:t>
            </w:r>
            <w:r w:rsidR="007C12FE" w:rsidRPr="003326F2">
              <w:rPr>
                <w:sz w:val="22"/>
                <w:szCs w:val="22"/>
              </w:rPr>
              <w:t xml:space="preserve"> </w:t>
            </w:r>
          </w:p>
          <w:p w14:paraId="2AB64F13" w14:textId="0C993CFE" w:rsidR="00953ED9" w:rsidRDefault="00EC19E0" w:rsidP="00953ED9">
            <w:pPr>
              <w:pStyle w:val="ListParagraph"/>
              <w:numPr>
                <w:ilvl w:val="2"/>
                <w:numId w:val="1"/>
              </w:numPr>
              <w:rPr>
                <w:color w:val="0E2841" w:themeColor="text2"/>
                <w:sz w:val="22"/>
                <w:szCs w:val="22"/>
              </w:rPr>
            </w:pPr>
            <w:hyperlink r:id="rId18" w:history="1">
              <w:r w:rsidRPr="00757690">
                <w:rPr>
                  <w:rStyle w:val="Hyperlink"/>
                  <w:color w:val="0070C0"/>
                  <w:sz w:val="22"/>
                  <w:szCs w:val="22"/>
                </w:rPr>
                <w:t>Phase 3</w:t>
              </w:r>
            </w:hyperlink>
            <w:r>
              <w:rPr>
                <w:color w:val="0E2841" w:themeColor="text2"/>
                <w:sz w:val="22"/>
                <w:szCs w:val="22"/>
              </w:rPr>
              <w:t xml:space="preserve"> </w:t>
            </w:r>
            <w:r w:rsidRPr="003326F2">
              <w:rPr>
                <w:sz w:val="22"/>
                <w:szCs w:val="22"/>
              </w:rPr>
              <w:t xml:space="preserve">trial </w:t>
            </w:r>
            <w:r w:rsidR="001B2496" w:rsidRPr="003326F2">
              <w:rPr>
                <w:sz w:val="22"/>
                <w:szCs w:val="22"/>
              </w:rPr>
              <w:t>demonstrated efficacy</w:t>
            </w:r>
            <w:r w:rsidR="00466F6F" w:rsidRPr="003326F2">
              <w:rPr>
                <w:sz w:val="22"/>
                <w:szCs w:val="22"/>
              </w:rPr>
              <w:t xml:space="preserve"> and safety</w:t>
            </w:r>
            <w:r w:rsidRPr="003326F2">
              <w:rPr>
                <w:sz w:val="22"/>
                <w:szCs w:val="22"/>
              </w:rPr>
              <w:t xml:space="preserve"> in children and adolescents with PsO</w:t>
            </w:r>
          </w:p>
          <w:p w14:paraId="23C53F79" w14:textId="3119B4F2" w:rsidR="001B2496" w:rsidRDefault="001B2496" w:rsidP="00953ED9">
            <w:pPr>
              <w:pStyle w:val="ListParagraph"/>
              <w:numPr>
                <w:ilvl w:val="2"/>
                <w:numId w:val="1"/>
              </w:numPr>
              <w:rPr>
                <w:color w:val="0E2841" w:themeColor="text2"/>
                <w:sz w:val="22"/>
                <w:szCs w:val="22"/>
              </w:rPr>
            </w:pPr>
            <w:r w:rsidRPr="003326F2">
              <w:rPr>
                <w:sz w:val="22"/>
                <w:szCs w:val="22"/>
              </w:rPr>
              <w:t>Additionally,</w:t>
            </w:r>
            <w:r w:rsidR="005E17FA" w:rsidRPr="003326F2">
              <w:rPr>
                <w:sz w:val="22"/>
                <w:szCs w:val="22"/>
              </w:rPr>
              <w:t xml:space="preserve"> safety was assessed in</w:t>
            </w:r>
            <w:r w:rsidR="00466F6F" w:rsidRPr="003326F2">
              <w:rPr>
                <w:sz w:val="22"/>
                <w:szCs w:val="22"/>
              </w:rPr>
              <w:t xml:space="preserve"> a second</w:t>
            </w:r>
            <w:r w:rsidRPr="003326F2">
              <w:rPr>
                <w:sz w:val="22"/>
                <w:szCs w:val="22"/>
              </w:rPr>
              <w:t xml:space="preserve"> </w:t>
            </w:r>
            <w:hyperlink r:id="rId19" w:history="1">
              <w:r w:rsidRPr="000E2C6E">
                <w:rPr>
                  <w:rStyle w:val="Hyperlink"/>
                  <w:color w:val="0070C0"/>
                  <w:sz w:val="22"/>
                  <w:szCs w:val="22"/>
                </w:rPr>
                <w:t>Phase 3</w:t>
              </w:r>
            </w:hyperlink>
            <w:r>
              <w:rPr>
                <w:color w:val="0E2841" w:themeColor="text2"/>
                <w:sz w:val="22"/>
                <w:szCs w:val="22"/>
              </w:rPr>
              <w:t xml:space="preserve"> </w:t>
            </w:r>
            <w:r w:rsidR="005E17FA" w:rsidRPr="003326F2">
              <w:rPr>
                <w:sz w:val="22"/>
                <w:szCs w:val="22"/>
              </w:rPr>
              <w:t xml:space="preserve">pediatric </w:t>
            </w:r>
            <w:r w:rsidRPr="003326F2">
              <w:rPr>
                <w:sz w:val="22"/>
                <w:szCs w:val="22"/>
              </w:rPr>
              <w:t xml:space="preserve">trial </w:t>
            </w:r>
          </w:p>
          <w:p w14:paraId="3E952E33" w14:textId="112C1B3F" w:rsidR="00EC19E0" w:rsidRPr="00D23E3A" w:rsidRDefault="007A4669" w:rsidP="00EC19E0">
            <w:pPr>
              <w:pStyle w:val="ListParagraph"/>
              <w:numPr>
                <w:ilvl w:val="1"/>
                <w:numId w:val="1"/>
              </w:numPr>
              <w:rPr>
                <w:color w:val="0E2841" w:themeColor="text2"/>
                <w:sz w:val="22"/>
                <w:szCs w:val="22"/>
              </w:rPr>
            </w:pPr>
            <w:r w:rsidRPr="003326F2">
              <w:rPr>
                <w:sz w:val="22"/>
                <w:szCs w:val="22"/>
              </w:rPr>
              <w:t xml:space="preserve">jPsA and ERA: </w:t>
            </w:r>
            <w:hyperlink r:id="rId20" w:history="1">
              <w:r w:rsidRPr="00757690">
                <w:rPr>
                  <w:rStyle w:val="Hyperlink"/>
                  <w:color w:val="0070C0"/>
                  <w:sz w:val="22"/>
                  <w:szCs w:val="22"/>
                </w:rPr>
                <w:t>Phase 3</w:t>
              </w:r>
            </w:hyperlink>
            <w:r>
              <w:rPr>
                <w:color w:val="0E2841" w:themeColor="text2"/>
                <w:sz w:val="22"/>
                <w:szCs w:val="22"/>
              </w:rPr>
              <w:t xml:space="preserve"> </w:t>
            </w:r>
            <w:r w:rsidRPr="003326F2">
              <w:rPr>
                <w:sz w:val="22"/>
                <w:szCs w:val="22"/>
              </w:rPr>
              <w:t xml:space="preserve">trial </w:t>
            </w:r>
            <w:r w:rsidR="00757690" w:rsidRPr="003326F2">
              <w:rPr>
                <w:sz w:val="22"/>
                <w:szCs w:val="22"/>
              </w:rPr>
              <w:t xml:space="preserve">in pediatric patients (2 to </w:t>
            </w:r>
            <w:r w:rsidR="000941F9">
              <w:rPr>
                <w:sz w:val="22"/>
                <w:szCs w:val="22"/>
              </w:rPr>
              <w:t>&lt;</w:t>
            </w:r>
            <w:r w:rsidR="00757690" w:rsidRPr="003326F2">
              <w:rPr>
                <w:sz w:val="22"/>
                <w:szCs w:val="22"/>
              </w:rPr>
              <w:t xml:space="preserve"> 18 years of age) with active ERA or JPsA</w:t>
            </w:r>
          </w:p>
          <w:p w14:paraId="613B234A" w14:textId="1FAD277D" w:rsidR="00B0180B" w:rsidRPr="00AF42AA" w:rsidRDefault="00B0180B" w:rsidP="00B0180B">
            <w:pPr>
              <w:pStyle w:val="ListParagraph"/>
              <w:numPr>
                <w:ilvl w:val="0"/>
                <w:numId w:val="1"/>
              </w:numPr>
              <w:rPr>
                <w:color w:val="002060"/>
                <w:sz w:val="22"/>
                <w:szCs w:val="22"/>
              </w:rPr>
            </w:pPr>
            <w:r>
              <w:rPr>
                <w:color w:val="000000" w:themeColor="text1"/>
                <w:sz w:val="22"/>
                <w:szCs w:val="22"/>
              </w:rPr>
              <w:t>T</w:t>
            </w:r>
            <w:r w:rsidRPr="00B56195">
              <w:rPr>
                <w:color w:val="000000" w:themeColor="text1"/>
                <w:sz w:val="22"/>
                <w:szCs w:val="22"/>
              </w:rPr>
              <w:t>he approval is also supported by dosing analysis, which predicted that weight-based dosing of Cosentyx in pediatric patients can provide similar exposure to adult HS patients</w:t>
            </w:r>
          </w:p>
          <w:p w14:paraId="20A70C11" w14:textId="56B0E097" w:rsidR="00AF42AA" w:rsidRPr="00DB0A04" w:rsidRDefault="00AF42AA" w:rsidP="00AF42AA">
            <w:pPr>
              <w:pStyle w:val="ListParagraph"/>
              <w:numPr>
                <w:ilvl w:val="1"/>
                <w:numId w:val="1"/>
              </w:numPr>
              <w:rPr>
                <w:color w:val="002060"/>
                <w:sz w:val="22"/>
                <w:szCs w:val="22"/>
              </w:rPr>
            </w:pPr>
            <w:r>
              <w:rPr>
                <w:color w:val="000000" w:themeColor="text1"/>
                <w:sz w:val="22"/>
                <w:szCs w:val="22"/>
              </w:rPr>
              <w:t xml:space="preserve">The </w:t>
            </w:r>
            <w:r w:rsidR="001E3DBB">
              <w:rPr>
                <w:color w:val="000000" w:themeColor="text1"/>
                <w:sz w:val="22"/>
                <w:szCs w:val="22"/>
              </w:rPr>
              <w:t xml:space="preserve">current </w:t>
            </w:r>
            <w:hyperlink r:id="rId21" w:history="1">
              <w:r w:rsidR="001E3DBB" w:rsidRPr="004D2DA6">
                <w:rPr>
                  <w:rStyle w:val="Hyperlink"/>
                  <w:sz w:val="22"/>
                  <w:szCs w:val="22"/>
                </w:rPr>
                <w:t>label</w:t>
              </w:r>
            </w:hyperlink>
            <w:r w:rsidR="001E3DBB">
              <w:rPr>
                <w:color w:val="000000" w:themeColor="text1"/>
                <w:sz w:val="22"/>
                <w:szCs w:val="22"/>
              </w:rPr>
              <w:t xml:space="preserve"> highlights that </w:t>
            </w:r>
            <w:r w:rsidR="001E3DBB" w:rsidRPr="001E3DBB">
              <w:rPr>
                <w:color w:val="000000" w:themeColor="text1"/>
                <w:sz w:val="22"/>
                <w:szCs w:val="22"/>
              </w:rPr>
              <w:t xml:space="preserve">secukinumab PK is similar in pediatric patients with </w:t>
            </w:r>
            <w:r w:rsidR="001E3DBB" w:rsidRPr="005A7482">
              <w:rPr>
                <w:b/>
                <w:bCs/>
                <w:color w:val="000000" w:themeColor="text1"/>
                <w:sz w:val="22"/>
                <w:szCs w:val="22"/>
              </w:rPr>
              <w:t>ERA and PsO</w:t>
            </w:r>
            <w:r w:rsidR="001E3DBB" w:rsidRPr="001E3DBB">
              <w:rPr>
                <w:color w:val="000000" w:themeColor="text1"/>
                <w:sz w:val="22"/>
                <w:szCs w:val="22"/>
              </w:rPr>
              <w:t xml:space="preserve"> for </w:t>
            </w:r>
            <w:r w:rsidR="001E3DBB" w:rsidRPr="001E3DBB">
              <w:rPr>
                <w:b/>
                <w:bCs/>
                <w:color w:val="000000" w:themeColor="text1"/>
                <w:sz w:val="22"/>
                <w:szCs w:val="22"/>
              </w:rPr>
              <w:t>the same weight tiered dosing regimen</w:t>
            </w:r>
          </w:p>
          <w:p w14:paraId="164804AA" w14:textId="48C1A247" w:rsidR="00DB0A04" w:rsidRDefault="00FF2184" w:rsidP="00DB0A04">
            <w:pPr>
              <w:pStyle w:val="ListParagraph"/>
              <w:numPr>
                <w:ilvl w:val="0"/>
                <w:numId w:val="1"/>
              </w:numPr>
              <w:rPr>
                <w:color w:val="000000" w:themeColor="text1"/>
                <w:sz w:val="22"/>
                <w:szCs w:val="22"/>
              </w:rPr>
            </w:pPr>
            <w:r>
              <w:rPr>
                <w:color w:val="000000" w:themeColor="text1"/>
                <w:sz w:val="22"/>
                <w:szCs w:val="22"/>
              </w:rPr>
              <w:t>For ped HS, r</w:t>
            </w:r>
            <w:r w:rsidR="00DB0A04" w:rsidRPr="00DB0A04">
              <w:rPr>
                <w:color w:val="000000" w:themeColor="text1"/>
                <w:sz w:val="22"/>
                <w:szCs w:val="22"/>
              </w:rPr>
              <w:t xml:space="preserve">ecommended weight-based dosage is administered by subcutaneous injection at Weeks 0, 1, 2, 3, and 4 and every 4 weeks thereafter. </w:t>
            </w:r>
          </w:p>
          <w:p w14:paraId="5238D2E5" w14:textId="13B38A77" w:rsidR="00DB0A04" w:rsidRDefault="00DB0A04" w:rsidP="00DB0A04">
            <w:pPr>
              <w:pStyle w:val="ListParagraph"/>
              <w:numPr>
                <w:ilvl w:val="1"/>
                <w:numId w:val="1"/>
              </w:numPr>
              <w:rPr>
                <w:color w:val="000000" w:themeColor="text1"/>
                <w:sz w:val="22"/>
                <w:szCs w:val="22"/>
              </w:rPr>
            </w:pPr>
            <w:r w:rsidRPr="00DB0A04">
              <w:rPr>
                <w:color w:val="000000" w:themeColor="text1"/>
                <w:sz w:val="22"/>
                <w:szCs w:val="22"/>
              </w:rPr>
              <w:t>For patients ≥ 30 kg and &lt; 90 kg, the dose is 150 mg</w:t>
            </w:r>
          </w:p>
          <w:p w14:paraId="17ECB5A3" w14:textId="69D3AD67" w:rsidR="00DB0A04" w:rsidRPr="00DB0A04" w:rsidRDefault="00DB0A04" w:rsidP="00DB0A04">
            <w:pPr>
              <w:pStyle w:val="ListParagraph"/>
              <w:numPr>
                <w:ilvl w:val="1"/>
                <w:numId w:val="1"/>
              </w:numPr>
              <w:rPr>
                <w:color w:val="000000" w:themeColor="text1"/>
                <w:sz w:val="22"/>
                <w:szCs w:val="22"/>
              </w:rPr>
            </w:pPr>
            <w:r w:rsidRPr="00DB0A04">
              <w:rPr>
                <w:color w:val="000000" w:themeColor="text1"/>
                <w:sz w:val="22"/>
                <w:szCs w:val="22"/>
              </w:rPr>
              <w:t>For patients ≥ 90 kg, the dose is 300 mg</w:t>
            </w: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89077E"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89077E"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22">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3"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4">
                    <w:r w:rsidRPr="00296DAA">
                      <w:rPr>
                        <w:rStyle w:val="Hyperlink"/>
                        <w:rFonts w:ascii="Aptos" w:eastAsia="Aptos" w:hAnsi="Aptos" w:cs="Aptos"/>
                        <w:color w:val="0070C0"/>
                        <w:sz w:val="22"/>
                        <w:szCs w:val="22"/>
                      </w:rPr>
                      <w:t>Luke Versten</w:t>
                    </w:r>
                  </w:hyperlink>
                </w:p>
              </w:tc>
            </w:tr>
            <w:tr w:rsidR="0089077E"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5">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6">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7">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8">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29">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30">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1"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num w:numId="1" w16cid:durableId="366764156">
    <w:abstractNumId w:val="1"/>
  </w:num>
  <w:num w:numId="2" w16cid:durableId="1425108719">
    <w:abstractNumId w:val="2"/>
  </w:num>
  <w:num w:numId="3" w16cid:durableId="125594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1479E"/>
    <w:rsid w:val="000158F9"/>
    <w:rsid w:val="00017A79"/>
    <w:rsid w:val="0002240B"/>
    <w:rsid w:val="00023342"/>
    <w:rsid w:val="000248DF"/>
    <w:rsid w:val="00025AB5"/>
    <w:rsid w:val="00025EFE"/>
    <w:rsid w:val="00025F91"/>
    <w:rsid w:val="0004285C"/>
    <w:rsid w:val="000522EC"/>
    <w:rsid w:val="00054EEA"/>
    <w:rsid w:val="000650C3"/>
    <w:rsid w:val="00087E1E"/>
    <w:rsid w:val="00092986"/>
    <w:rsid w:val="000939DD"/>
    <w:rsid w:val="00093C38"/>
    <w:rsid w:val="000941F9"/>
    <w:rsid w:val="000965FC"/>
    <w:rsid w:val="000A5754"/>
    <w:rsid w:val="000B7163"/>
    <w:rsid w:val="000C111C"/>
    <w:rsid w:val="000D3367"/>
    <w:rsid w:val="000D3533"/>
    <w:rsid w:val="000D5679"/>
    <w:rsid w:val="000E2C6E"/>
    <w:rsid w:val="000F092A"/>
    <w:rsid w:val="000F2F72"/>
    <w:rsid w:val="001042D0"/>
    <w:rsid w:val="00105672"/>
    <w:rsid w:val="001061D7"/>
    <w:rsid w:val="00117BE6"/>
    <w:rsid w:val="0013149F"/>
    <w:rsid w:val="00133D86"/>
    <w:rsid w:val="00142839"/>
    <w:rsid w:val="001572B1"/>
    <w:rsid w:val="00164D08"/>
    <w:rsid w:val="0018227E"/>
    <w:rsid w:val="00185947"/>
    <w:rsid w:val="00186450"/>
    <w:rsid w:val="001972A4"/>
    <w:rsid w:val="001B2496"/>
    <w:rsid w:val="001B5E7F"/>
    <w:rsid w:val="001E0CC4"/>
    <w:rsid w:val="001E3DBB"/>
    <w:rsid w:val="001E5BF5"/>
    <w:rsid w:val="001F128F"/>
    <w:rsid w:val="001F701F"/>
    <w:rsid w:val="002044E4"/>
    <w:rsid w:val="00210630"/>
    <w:rsid w:val="00216CF7"/>
    <w:rsid w:val="00235632"/>
    <w:rsid w:val="002363F7"/>
    <w:rsid w:val="00241809"/>
    <w:rsid w:val="00245EB5"/>
    <w:rsid w:val="00253E85"/>
    <w:rsid w:val="00255F05"/>
    <w:rsid w:val="00265A02"/>
    <w:rsid w:val="00274D22"/>
    <w:rsid w:val="0029244A"/>
    <w:rsid w:val="00296DAA"/>
    <w:rsid w:val="002A206E"/>
    <w:rsid w:val="002A6530"/>
    <w:rsid w:val="002B1B27"/>
    <w:rsid w:val="002B3ED1"/>
    <w:rsid w:val="002C2D65"/>
    <w:rsid w:val="002C454D"/>
    <w:rsid w:val="002E6873"/>
    <w:rsid w:val="002E7636"/>
    <w:rsid w:val="002F3679"/>
    <w:rsid w:val="002F7BE0"/>
    <w:rsid w:val="00312686"/>
    <w:rsid w:val="00312E18"/>
    <w:rsid w:val="0033006F"/>
    <w:rsid w:val="00330177"/>
    <w:rsid w:val="00331521"/>
    <w:rsid w:val="003326F2"/>
    <w:rsid w:val="00342D53"/>
    <w:rsid w:val="003461D3"/>
    <w:rsid w:val="0035160E"/>
    <w:rsid w:val="00362621"/>
    <w:rsid w:val="00372D1B"/>
    <w:rsid w:val="00377322"/>
    <w:rsid w:val="003906CB"/>
    <w:rsid w:val="00395415"/>
    <w:rsid w:val="003A1F30"/>
    <w:rsid w:val="003A6D7C"/>
    <w:rsid w:val="003B2BEC"/>
    <w:rsid w:val="003D6CE9"/>
    <w:rsid w:val="003F1937"/>
    <w:rsid w:val="003F5EDB"/>
    <w:rsid w:val="003F7618"/>
    <w:rsid w:val="0040319B"/>
    <w:rsid w:val="00403567"/>
    <w:rsid w:val="00407C10"/>
    <w:rsid w:val="00420E68"/>
    <w:rsid w:val="00426221"/>
    <w:rsid w:val="004336FC"/>
    <w:rsid w:val="00454098"/>
    <w:rsid w:val="00466F6F"/>
    <w:rsid w:val="004726D1"/>
    <w:rsid w:val="0047278E"/>
    <w:rsid w:val="004B51BA"/>
    <w:rsid w:val="004C39B3"/>
    <w:rsid w:val="004C3E78"/>
    <w:rsid w:val="004C5A75"/>
    <w:rsid w:val="004D2A9F"/>
    <w:rsid w:val="004D2DA6"/>
    <w:rsid w:val="004E3495"/>
    <w:rsid w:val="004E451B"/>
    <w:rsid w:val="004F353B"/>
    <w:rsid w:val="004F798F"/>
    <w:rsid w:val="00500982"/>
    <w:rsid w:val="00500F90"/>
    <w:rsid w:val="005107B6"/>
    <w:rsid w:val="00510DAE"/>
    <w:rsid w:val="005149A9"/>
    <w:rsid w:val="00515894"/>
    <w:rsid w:val="00527DE0"/>
    <w:rsid w:val="00530947"/>
    <w:rsid w:val="00534287"/>
    <w:rsid w:val="0053610D"/>
    <w:rsid w:val="00541383"/>
    <w:rsid w:val="0054259D"/>
    <w:rsid w:val="00546C11"/>
    <w:rsid w:val="0055282F"/>
    <w:rsid w:val="0055663B"/>
    <w:rsid w:val="005779A3"/>
    <w:rsid w:val="00577F2B"/>
    <w:rsid w:val="0058211B"/>
    <w:rsid w:val="005926FD"/>
    <w:rsid w:val="00597D8C"/>
    <w:rsid w:val="005A164D"/>
    <w:rsid w:val="005A7454"/>
    <w:rsid w:val="005A7482"/>
    <w:rsid w:val="005A79E7"/>
    <w:rsid w:val="005B752F"/>
    <w:rsid w:val="005D0A01"/>
    <w:rsid w:val="005E17FA"/>
    <w:rsid w:val="00604623"/>
    <w:rsid w:val="00606142"/>
    <w:rsid w:val="00610284"/>
    <w:rsid w:val="006113A8"/>
    <w:rsid w:val="0062296A"/>
    <w:rsid w:val="00630730"/>
    <w:rsid w:val="00671098"/>
    <w:rsid w:val="00677BE4"/>
    <w:rsid w:val="00680C46"/>
    <w:rsid w:val="0068305C"/>
    <w:rsid w:val="0069530B"/>
    <w:rsid w:val="006975E8"/>
    <w:rsid w:val="006A3E27"/>
    <w:rsid w:val="006A6CD3"/>
    <w:rsid w:val="006C7A87"/>
    <w:rsid w:val="006D535E"/>
    <w:rsid w:val="006E3096"/>
    <w:rsid w:val="0073264C"/>
    <w:rsid w:val="007416F3"/>
    <w:rsid w:val="00747ADB"/>
    <w:rsid w:val="00754870"/>
    <w:rsid w:val="00757690"/>
    <w:rsid w:val="007664D2"/>
    <w:rsid w:val="007679E2"/>
    <w:rsid w:val="00776316"/>
    <w:rsid w:val="007821AC"/>
    <w:rsid w:val="00796235"/>
    <w:rsid w:val="007A4669"/>
    <w:rsid w:val="007C12FE"/>
    <w:rsid w:val="007C52E8"/>
    <w:rsid w:val="007D00D0"/>
    <w:rsid w:val="007E0D83"/>
    <w:rsid w:val="007F603D"/>
    <w:rsid w:val="0080257B"/>
    <w:rsid w:val="00804CB7"/>
    <w:rsid w:val="00811306"/>
    <w:rsid w:val="0081682C"/>
    <w:rsid w:val="00836625"/>
    <w:rsid w:val="00847B25"/>
    <w:rsid w:val="0085416B"/>
    <w:rsid w:val="008557E2"/>
    <w:rsid w:val="008626B9"/>
    <w:rsid w:val="00866724"/>
    <w:rsid w:val="00873ED7"/>
    <w:rsid w:val="00874C74"/>
    <w:rsid w:val="00875017"/>
    <w:rsid w:val="00886D70"/>
    <w:rsid w:val="0089077E"/>
    <w:rsid w:val="00893A23"/>
    <w:rsid w:val="008965BF"/>
    <w:rsid w:val="008B06A5"/>
    <w:rsid w:val="008C03A1"/>
    <w:rsid w:val="008F37B5"/>
    <w:rsid w:val="008F39A3"/>
    <w:rsid w:val="00910541"/>
    <w:rsid w:val="00925F70"/>
    <w:rsid w:val="00933BD4"/>
    <w:rsid w:val="0093521C"/>
    <w:rsid w:val="009406E7"/>
    <w:rsid w:val="009421F8"/>
    <w:rsid w:val="00942C19"/>
    <w:rsid w:val="00953ED9"/>
    <w:rsid w:val="00970145"/>
    <w:rsid w:val="00990FB5"/>
    <w:rsid w:val="009978C5"/>
    <w:rsid w:val="009C2E82"/>
    <w:rsid w:val="009F1171"/>
    <w:rsid w:val="009F14E9"/>
    <w:rsid w:val="00A036BB"/>
    <w:rsid w:val="00A03C13"/>
    <w:rsid w:val="00A0402D"/>
    <w:rsid w:val="00A06F75"/>
    <w:rsid w:val="00A21D48"/>
    <w:rsid w:val="00A30675"/>
    <w:rsid w:val="00A61165"/>
    <w:rsid w:val="00A63C55"/>
    <w:rsid w:val="00A668F8"/>
    <w:rsid w:val="00A66975"/>
    <w:rsid w:val="00A73A88"/>
    <w:rsid w:val="00A75315"/>
    <w:rsid w:val="00A822D2"/>
    <w:rsid w:val="00A833D8"/>
    <w:rsid w:val="00A86D40"/>
    <w:rsid w:val="00A93815"/>
    <w:rsid w:val="00A95AE0"/>
    <w:rsid w:val="00AA20E6"/>
    <w:rsid w:val="00AA3C93"/>
    <w:rsid w:val="00AD4EE3"/>
    <w:rsid w:val="00AD7E47"/>
    <w:rsid w:val="00AF04CE"/>
    <w:rsid w:val="00AF42AA"/>
    <w:rsid w:val="00AF7F7F"/>
    <w:rsid w:val="00B0180B"/>
    <w:rsid w:val="00B038CF"/>
    <w:rsid w:val="00B120E3"/>
    <w:rsid w:val="00B21185"/>
    <w:rsid w:val="00B327A6"/>
    <w:rsid w:val="00B4341A"/>
    <w:rsid w:val="00B533F9"/>
    <w:rsid w:val="00B56195"/>
    <w:rsid w:val="00B56D55"/>
    <w:rsid w:val="00B66789"/>
    <w:rsid w:val="00B67E2F"/>
    <w:rsid w:val="00BA3273"/>
    <w:rsid w:val="00BB4E68"/>
    <w:rsid w:val="00BB74E0"/>
    <w:rsid w:val="00BD2462"/>
    <w:rsid w:val="00BD3FAA"/>
    <w:rsid w:val="00BD5D4B"/>
    <w:rsid w:val="00BD6B2F"/>
    <w:rsid w:val="00BE4616"/>
    <w:rsid w:val="00BE6E24"/>
    <w:rsid w:val="00BF526A"/>
    <w:rsid w:val="00C01970"/>
    <w:rsid w:val="00C052CE"/>
    <w:rsid w:val="00C448E9"/>
    <w:rsid w:val="00C45EFE"/>
    <w:rsid w:val="00C51647"/>
    <w:rsid w:val="00C7091E"/>
    <w:rsid w:val="00C82B7C"/>
    <w:rsid w:val="00C84540"/>
    <w:rsid w:val="00C91B7E"/>
    <w:rsid w:val="00CA4035"/>
    <w:rsid w:val="00CB0E62"/>
    <w:rsid w:val="00CE1741"/>
    <w:rsid w:val="00CF081B"/>
    <w:rsid w:val="00D132C5"/>
    <w:rsid w:val="00D20648"/>
    <w:rsid w:val="00D220FF"/>
    <w:rsid w:val="00D23A08"/>
    <w:rsid w:val="00D23E3A"/>
    <w:rsid w:val="00D34F81"/>
    <w:rsid w:val="00D409F8"/>
    <w:rsid w:val="00D43349"/>
    <w:rsid w:val="00D4705C"/>
    <w:rsid w:val="00D47EFF"/>
    <w:rsid w:val="00D56D32"/>
    <w:rsid w:val="00D572E4"/>
    <w:rsid w:val="00D635DD"/>
    <w:rsid w:val="00D73313"/>
    <w:rsid w:val="00D87631"/>
    <w:rsid w:val="00DB0A04"/>
    <w:rsid w:val="00DC2A38"/>
    <w:rsid w:val="00DF1538"/>
    <w:rsid w:val="00DF1DB8"/>
    <w:rsid w:val="00E26780"/>
    <w:rsid w:val="00E3354B"/>
    <w:rsid w:val="00E3571A"/>
    <w:rsid w:val="00E36BAA"/>
    <w:rsid w:val="00E4085A"/>
    <w:rsid w:val="00E53694"/>
    <w:rsid w:val="00E57F88"/>
    <w:rsid w:val="00E60CF4"/>
    <w:rsid w:val="00E67065"/>
    <w:rsid w:val="00E76886"/>
    <w:rsid w:val="00E956A4"/>
    <w:rsid w:val="00EA1CE4"/>
    <w:rsid w:val="00EA7E66"/>
    <w:rsid w:val="00EC19E0"/>
    <w:rsid w:val="00ED65DC"/>
    <w:rsid w:val="00EF016F"/>
    <w:rsid w:val="00F004CA"/>
    <w:rsid w:val="00F04990"/>
    <w:rsid w:val="00F069E1"/>
    <w:rsid w:val="00F14D1B"/>
    <w:rsid w:val="00F165C5"/>
    <w:rsid w:val="00F44CF5"/>
    <w:rsid w:val="00F630D9"/>
    <w:rsid w:val="00F722E5"/>
    <w:rsid w:val="00F90091"/>
    <w:rsid w:val="00F93FB0"/>
    <w:rsid w:val="00FA2534"/>
    <w:rsid w:val="00FB4696"/>
    <w:rsid w:val="00FB75D6"/>
    <w:rsid w:val="00FD021B"/>
    <w:rsid w:val="00FF2184"/>
    <w:rsid w:val="00FF7907"/>
    <w:rsid w:val="0EC93FC0"/>
    <w:rsid w:val="1444F57B"/>
    <w:rsid w:val="50FEE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FFCC8235-DAD2-4434-997A-4D85408C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3713632" TargetMode="External"/><Relationship Id="rId18" Type="http://schemas.openxmlformats.org/officeDocument/2006/relationships/hyperlink" Target="https://clinicaltrials.gov/study/NCT02471144" TargetMode="External"/><Relationship Id="rId26" Type="http://schemas.openxmlformats.org/officeDocument/2006/relationships/hyperlink" Target="mailto:irene.knorn@abbvie.com" TargetMode="External"/><Relationship Id="rId3" Type="http://schemas.openxmlformats.org/officeDocument/2006/relationships/customXml" Target="../customXml/item3.xml"/><Relationship Id="rId21" Type="http://schemas.openxmlformats.org/officeDocument/2006/relationships/hyperlink" Target="https://www.novartis.com/us-en/sites/novartis_us/files/cosentyx.pdf" TargetMode="External"/><Relationship Id="rId7" Type="http://schemas.openxmlformats.org/officeDocument/2006/relationships/webSettings" Target="webSettings.xml"/><Relationship Id="rId12" Type="http://schemas.openxmlformats.org/officeDocument/2006/relationships/hyperlink" Target="https://clinicaltrials.gov/study/NCT03713619" TargetMode="External"/><Relationship Id="rId17" Type="http://schemas.openxmlformats.org/officeDocument/2006/relationships/hyperlink" Target="https://clinicaltrials.gov/study/NCT01636687" TargetMode="External"/><Relationship Id="rId25" Type="http://schemas.openxmlformats.org/officeDocument/2006/relationships/hyperlink" Target="mailto:priti.anand@abbvie.com" TargetMode="External"/><Relationship Id="rId2" Type="http://schemas.openxmlformats.org/officeDocument/2006/relationships/customXml" Target="../customXml/item2.xml"/><Relationship Id="rId16" Type="http://schemas.openxmlformats.org/officeDocument/2006/relationships/hyperlink" Target="https://clinicaltrials.gov/study/NCT01555125" TargetMode="External"/><Relationship Id="rId20" Type="http://schemas.openxmlformats.org/officeDocument/2006/relationships/hyperlink" Target="https://clinicaltrials.gov/study/NCT03031782" TargetMode="External"/><Relationship Id="rId29"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921850" TargetMode="External"/><Relationship Id="rId24" Type="http://schemas.openxmlformats.org/officeDocument/2006/relationships/hyperlink" Target="mailto:luke.versten@abbvie.com"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clinicaltrials.gov/study/NCT01358578" TargetMode="External"/><Relationship Id="rId23" Type="http://schemas.openxmlformats.org/officeDocument/2006/relationships/hyperlink" Target="mailto:bethany.christmann@abbvie.com" TargetMode="External"/><Relationship Id="rId28"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0" Type="http://schemas.openxmlformats.org/officeDocument/2006/relationships/hyperlink" Target="https://www.novartis.com/us-en/sites/novartis_us/files/cosentyx.pdf" TargetMode="External"/><Relationship Id="rId19" Type="http://schemas.openxmlformats.org/officeDocument/2006/relationships/hyperlink" Target="https://clinicaltrials.gov/study/NCT0366861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vartis.com/news/media-releases/novartis-cosentyx-receives-fda-approval-pediatric-patients-aged-12-moderate-severe-hidradenitis-suppurativa" TargetMode="External"/><Relationship Id="rId14" Type="http://schemas.openxmlformats.org/officeDocument/2006/relationships/hyperlink" Target="https://clinicaltrials.gov/study/NCT01365455" TargetMode="External"/><Relationship Id="rId22" Type="http://schemas.openxmlformats.org/officeDocument/2006/relationships/hyperlink" Target="mailto:chanda.bhat@abbvie.com" TargetMode="External"/><Relationship Id="rId27" Type="http://schemas.openxmlformats.org/officeDocument/2006/relationships/hyperlink" Target="mailto:priti.anand@abbvie.com" TargetMode="External"/><Relationship Id="rId30"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64239C-B897-4E1D-9522-BFCB884EB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910</Words>
  <Characters>5193</Characters>
  <Application>Microsoft Office Word</Application>
  <DocSecurity>4</DocSecurity>
  <Lines>43</Lines>
  <Paragraphs>12</Paragraphs>
  <ScaleCrop>false</ScaleCrop>
  <Company>Abbvie</Company>
  <LinksUpToDate>false</LinksUpToDate>
  <CharactersWithSpaces>6091</CharactersWithSpaces>
  <SharedDoc>false</SharedDoc>
  <HLinks>
    <vt:vector size="132" baseType="variant">
      <vt:variant>
        <vt:i4>589939</vt:i4>
      </vt:variant>
      <vt:variant>
        <vt:i4>63</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60</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57</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54</vt:i4>
      </vt:variant>
      <vt:variant>
        <vt:i4>0</vt:i4>
      </vt:variant>
      <vt:variant>
        <vt:i4>5</vt:i4>
      </vt:variant>
      <vt:variant>
        <vt:lpwstr>mailto:priti.anand@abbvie.com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458863</vt:i4>
      </vt:variant>
      <vt:variant>
        <vt:i4>45</vt:i4>
      </vt:variant>
      <vt:variant>
        <vt:i4>0</vt:i4>
      </vt:variant>
      <vt:variant>
        <vt:i4>5</vt:i4>
      </vt:variant>
      <vt:variant>
        <vt:lpwstr>mailto:luke.versten@abbvie.com</vt:lpwstr>
      </vt:variant>
      <vt:variant>
        <vt:lpwstr/>
      </vt:variant>
      <vt:variant>
        <vt:i4>3276886</vt:i4>
      </vt:variant>
      <vt:variant>
        <vt:i4>42</vt:i4>
      </vt:variant>
      <vt:variant>
        <vt:i4>0</vt:i4>
      </vt:variant>
      <vt:variant>
        <vt:i4>5</vt:i4>
      </vt:variant>
      <vt:variant>
        <vt:lpwstr>mailto:bethany.christmann@abbvie.com</vt:lpwstr>
      </vt:variant>
      <vt:variant>
        <vt:lpwstr/>
      </vt:variant>
      <vt:variant>
        <vt:i4>1900668</vt:i4>
      </vt:variant>
      <vt:variant>
        <vt:i4>39</vt:i4>
      </vt:variant>
      <vt:variant>
        <vt:i4>0</vt:i4>
      </vt:variant>
      <vt:variant>
        <vt:i4>5</vt:i4>
      </vt:variant>
      <vt:variant>
        <vt:lpwstr>mailto:chanda.bhat@abbvie.com</vt:lpwstr>
      </vt:variant>
      <vt:variant>
        <vt:lpwstr/>
      </vt:variant>
      <vt:variant>
        <vt:i4>1441841</vt:i4>
      </vt:variant>
      <vt:variant>
        <vt:i4>36</vt:i4>
      </vt:variant>
      <vt:variant>
        <vt:i4>0</vt:i4>
      </vt:variant>
      <vt:variant>
        <vt:i4>5</vt:i4>
      </vt:variant>
      <vt:variant>
        <vt:lpwstr>https://www.novartis.com/us-en/sites/novartis_us/files/cosentyx.pdf</vt:lpwstr>
      </vt:variant>
      <vt:variant>
        <vt:lpwstr/>
      </vt:variant>
      <vt:variant>
        <vt:i4>851976</vt:i4>
      </vt:variant>
      <vt:variant>
        <vt:i4>33</vt:i4>
      </vt:variant>
      <vt:variant>
        <vt:i4>0</vt:i4>
      </vt:variant>
      <vt:variant>
        <vt:i4>5</vt:i4>
      </vt:variant>
      <vt:variant>
        <vt:lpwstr>https://clinicaltrials.gov/study/NCT03031782</vt:lpwstr>
      </vt:variant>
      <vt:variant>
        <vt:lpwstr/>
      </vt:variant>
      <vt:variant>
        <vt:i4>524302</vt:i4>
      </vt:variant>
      <vt:variant>
        <vt:i4>30</vt:i4>
      </vt:variant>
      <vt:variant>
        <vt:i4>0</vt:i4>
      </vt:variant>
      <vt:variant>
        <vt:i4>5</vt:i4>
      </vt:variant>
      <vt:variant>
        <vt:lpwstr>https://clinicaltrials.gov/study/NCT03668613</vt:lpwstr>
      </vt:variant>
      <vt:variant>
        <vt:lpwstr/>
      </vt:variant>
      <vt:variant>
        <vt:i4>524288</vt:i4>
      </vt:variant>
      <vt:variant>
        <vt:i4>27</vt:i4>
      </vt:variant>
      <vt:variant>
        <vt:i4>0</vt:i4>
      </vt:variant>
      <vt:variant>
        <vt:i4>5</vt:i4>
      </vt:variant>
      <vt:variant>
        <vt:lpwstr>https://clinicaltrials.gov/study/NCT02471144</vt:lpwstr>
      </vt:variant>
      <vt:variant>
        <vt:lpwstr/>
      </vt:variant>
      <vt:variant>
        <vt:i4>720905</vt:i4>
      </vt:variant>
      <vt:variant>
        <vt:i4>24</vt:i4>
      </vt:variant>
      <vt:variant>
        <vt:i4>0</vt:i4>
      </vt:variant>
      <vt:variant>
        <vt:i4>5</vt:i4>
      </vt:variant>
      <vt:variant>
        <vt:lpwstr>https://clinicaltrials.gov/study/NCT01636687</vt:lpwstr>
      </vt:variant>
      <vt:variant>
        <vt:lpwstr/>
      </vt:variant>
      <vt:variant>
        <vt:i4>524291</vt:i4>
      </vt:variant>
      <vt:variant>
        <vt:i4>21</vt:i4>
      </vt:variant>
      <vt:variant>
        <vt:i4>0</vt:i4>
      </vt:variant>
      <vt:variant>
        <vt:i4>5</vt:i4>
      </vt:variant>
      <vt:variant>
        <vt:lpwstr>https://clinicaltrials.gov/study/NCT01555125</vt:lpwstr>
      </vt:variant>
      <vt:variant>
        <vt:lpwstr/>
      </vt:variant>
      <vt:variant>
        <vt:i4>65549</vt:i4>
      </vt:variant>
      <vt:variant>
        <vt:i4>18</vt:i4>
      </vt:variant>
      <vt:variant>
        <vt:i4>0</vt:i4>
      </vt:variant>
      <vt:variant>
        <vt:i4>5</vt:i4>
      </vt:variant>
      <vt:variant>
        <vt:lpwstr>https://clinicaltrials.gov/study/NCT01358578</vt:lpwstr>
      </vt:variant>
      <vt:variant>
        <vt:lpwstr/>
      </vt:variant>
      <vt:variant>
        <vt:i4>917506</vt:i4>
      </vt:variant>
      <vt:variant>
        <vt:i4>15</vt:i4>
      </vt:variant>
      <vt:variant>
        <vt:i4>0</vt:i4>
      </vt:variant>
      <vt:variant>
        <vt:i4>5</vt:i4>
      </vt:variant>
      <vt:variant>
        <vt:lpwstr>https://clinicaltrials.gov/study/NCT01365455</vt:lpwstr>
      </vt:variant>
      <vt:variant>
        <vt:lpwstr/>
      </vt:variant>
      <vt:variant>
        <vt:i4>917510</vt:i4>
      </vt:variant>
      <vt:variant>
        <vt:i4>12</vt:i4>
      </vt:variant>
      <vt:variant>
        <vt:i4>0</vt:i4>
      </vt:variant>
      <vt:variant>
        <vt:i4>5</vt:i4>
      </vt:variant>
      <vt:variant>
        <vt:lpwstr>https://clinicaltrials.gov/study/NCT03713632</vt:lpwstr>
      </vt:variant>
      <vt:variant>
        <vt:lpwstr/>
      </vt:variant>
      <vt:variant>
        <vt:i4>327684</vt:i4>
      </vt:variant>
      <vt:variant>
        <vt:i4>9</vt:i4>
      </vt:variant>
      <vt:variant>
        <vt:i4>0</vt:i4>
      </vt:variant>
      <vt:variant>
        <vt:i4>5</vt:i4>
      </vt:variant>
      <vt:variant>
        <vt:lpwstr>https://clinicaltrials.gov/study/NCT03713619</vt:lpwstr>
      </vt:variant>
      <vt:variant>
        <vt:lpwstr/>
      </vt:variant>
      <vt:variant>
        <vt:i4>262156</vt:i4>
      </vt:variant>
      <vt:variant>
        <vt:i4>6</vt:i4>
      </vt:variant>
      <vt:variant>
        <vt:i4>0</vt:i4>
      </vt:variant>
      <vt:variant>
        <vt:i4>5</vt:i4>
      </vt:variant>
      <vt:variant>
        <vt:lpwstr>https://clinicaltrials.gov/study/NCT06921850</vt:lpwstr>
      </vt:variant>
      <vt:variant>
        <vt:lpwstr/>
      </vt:variant>
      <vt:variant>
        <vt:i4>1441841</vt:i4>
      </vt:variant>
      <vt:variant>
        <vt:i4>3</vt:i4>
      </vt:variant>
      <vt:variant>
        <vt:i4>0</vt:i4>
      </vt:variant>
      <vt:variant>
        <vt:i4>5</vt:i4>
      </vt:variant>
      <vt:variant>
        <vt:lpwstr>https://www.novartis.com/us-en/sites/novartis_us/files/cosentyx.pdf</vt:lpwstr>
      </vt:variant>
      <vt:variant>
        <vt:lpwstr/>
      </vt:variant>
      <vt:variant>
        <vt:i4>983120</vt:i4>
      </vt:variant>
      <vt:variant>
        <vt:i4>0</vt:i4>
      </vt:variant>
      <vt:variant>
        <vt:i4>0</vt:i4>
      </vt:variant>
      <vt:variant>
        <vt:i4>5</vt:i4>
      </vt:variant>
      <vt:variant>
        <vt:lpwstr>https://www.novartis.com/news/media-releases/novartis-cosentyx-receives-fda-approval-pediatric-patients-aged-12-moderate-severe-hidradenitis-suppurativa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Kamna Jhamb</cp:lastModifiedBy>
  <cp:revision>276</cp:revision>
  <dcterms:created xsi:type="dcterms:W3CDTF">2026-03-06T17:35:00Z</dcterms:created>
  <dcterms:modified xsi:type="dcterms:W3CDTF">2026-03-13T20:55:00Z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