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BIOPHARMACEUTICAL MARKET DYNAMICS AND COMPETITOR STRATEGY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TITLE: Pfizer BRAFTOVI FDA Full Approval for First-Line Metastatic Colorectal Cancer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COMPANY: Pfizer Inc.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DATE: February 24, 2026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FDA granted traditional (full) approval to BRAFTOVI (encorafenib) + cetuximab + mFOLFOX6 for first-line metastatic colorectal cancer with BRAF V600E mutation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Conversion from accelerated approval (December 2024) based on Phase 3 BREAKWATER trial demonstrating sustained clinical benefit and regulatory validation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BRAFTOVI is the only approved targeted regimen for first-line BRAF V600E-mutant mCRC, establishing exclusive market position in previously underserved patient population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BREAKWATER trial demonstrated superior efficacy: 61% ORR vs. 40% with standard chemotherapy (P=0.0008), median PFS 12.8 months, and 47% reduction in disease progression risk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IMPACT (CI PoV): High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Pfizer gains exclusive first-line targeted therapy position in BRAF V600E-mutant mCRC (8-10% of mCRC patients, ~5,000-10,000 U.S. patients annually)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Creates new standard of care, displacing chemotherapy ± bevacizumab as first-line option for BRAF-mutant patients and reshaping treatment algorithms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Establishes blockbuster potential with market valued at $7.68B (2025) projected to reach $19.86B by 2035 (10.1% CAGR), strengthening Pfizer's oncology competitive position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Pfizer's market exclusivity provides substantial competitive moat; no direct competing assets in BRAF-mutant mCRC from major competitors including AbbVie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Addresses critical unmet medical need in aggressive BRAF-mutant mCRC with historically poor prognosis (median OS 8.21 months vs. 20.03 months for wild-type patients)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Validates precision oncology approach with biomarker-driven treatment selection, accelerating industry-wide shift from chemotherapy to targeted therapy paradigm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Demonstrates successful accelerated-to-traditional approval pathway execution, providing regulatory roadmap for competitors pursuing similar expedited pathways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Drives mandatory BRAF V600E testing at mCRC diagnosis, reshaping clinical practice, diagnostic landscape, and creating new revenue streams for molecular testing providers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TELL ME MORE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Phase 3 BREAKWATER trial (NCT04607421): randomized, active-controlled, open-label multicenter study comparing EC+mFOLFOX6 vs. chemotherapy ± bevacizumab in previously untreated mCRC patients with confirmed BRAF V600E mutations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Key efficacy endpoints: 61% ORR, median DOR 13.9 months, statistically significant OS improvement, manageable safety profile supporting transition from accelerated to traditional approval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Pfizer holds exclusive rights in U.S., Canada, Latin America, Middle East, and Africa; patent protection extends market exclusivity with potential orphan drug designation benefits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Additional ASCO 2026 data (April) demonstrated efficacy with alternative FOLFIRI chemotherapy backbone, expanding treatment flexibility and patient population accessibility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Monitor Pfizer's label expansion efforts into second-line mCRC and other BRAF-mutant malignancies (melanoma, thyroid cancer) to maximize market opportunity and revenue potential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Track combination studies: BRAFTOVI + immunotherapy agents and BRAFTOVI + MEK inhibitors (MEKTOVI/binimetinib) to overcome resistance mechanisms and improve long-term outcomes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Assess impact on BRAF testing adoption rates, diagnostic market dynamics, and potential partnerships between Pfizer and molecular diagnostics companies for companion testing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Evaluate NCCN/ESMO guideline integration velocity and physician adoption rates to forecast market penetration and revenue trajectory in first-line BRAF-mutant mCRC segment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https://www.pfizer.com/news/press-release/press-release-detail/us-fda-grants-full-approval-pfizers-braftovi-combination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https://www.fda.gov/drugs/resources-information-approved-drugs/fda-grants-traditional-approval-encorafenib-metastatic-colorectal-cancer-braf-v600e-mutation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https://www.nejm.org/doi/10.1056/NEJMoa2501912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https://pmc.ncbi.nlm.nih.gov/articles/PMC12698039/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https://www.oncologynewscentral.com/drug/info/fda-approves-encorafenib-combination-for-metastatic-colorectal-cancer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6. https://cancerletter.com/drugs-and-targets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uY6wzLbwKMSuGbc6YM7+Q7HCg==">CgMxLjA4AHIhMUxaU2xHNHgwalgxTUdkV2QxU2d1TkI5ODd4T3pSVVgz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