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TITLE: Combination Immunotherapy for Metastatic Solid Cancers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COMPANY: National Cancer Institute (NCI), National Institutes of Health (NIH)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DATE: April 1, 2025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NCI Phase 2 trial published in Nature Medicine demonstrated 15.1% partial response rate using neoantigen-specific tumor-infiltrating lymphocyte (TIL) therapy combined with pembrolizumab in 91 treatment-refractory, mismatch repair-proficient (pMMR) metastatic gastrointestinal cancer patients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First meaningful clinical responses achieved in historically immunotherapy-resistant colorectal, pancreatic, and bile duct cancers using personalized autologous neoantigen-specific T cell therapy derived from patient tumor tissue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Iovance Biotherapeutics reported $263.5-$264 million full-year 2025 revenue with 30% quarter-over-quarter growth in Q4 2025, achieving annual guidance and expanding gross margin to 50% (from 43%)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Iovance stock price increased 25% following positive sarcoma TIL data announcement and strong FY25 results, validating market acceptance of TIL therapy commercialization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TIL therapy market projected to expand from $87 million (2024) to $5 billion (2035) at 40% compound annual growth rate, creating new competitive therapeutic front beyond traditional checkpoint inhibitors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Iovance establishes dominant first-mover advantage with FDA-approved Amtagvi (lifileucel) and expanding clinical evidence base in solid tumors, positioning company as market leader in emerging cellular therapy segment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Checkpoint inhibitor market ($62.23 billion in 2025, projected $204.31 billion by 2032) faces competitive pressure as TIL + pembrolizumab combinations demonstrate superior efficacy in treatment-refractory populations previously considered non-responsive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Large pharmaceutical companies (BMS, Merck, J&amp;J) accelerating strategic partnerships and pipeline diversification toward combination cellular + checkpoint inhibitor approaches, signaling industry-wide recognition of TIL therapy paradigm shift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Validates personalized neoantigen-targeting as breakthrough approach for solid tumors previously resistant to standard immunotherapy, expanding addressable patient population and creating new treatment paradigm for oncology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Demonstrates durable clinical responses in treatment-refractory gastrointestinal cancers (15.1% ORR), establishing new standard-of-care expectations and competitive benchmarks across oncology portfolios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Establishes regulatory precedent for autologous cell therapies in solid tumor indications, accelerating development of 100+ TIL clinical trials globally and creating manufacturing infrastructure requirements across industry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Shifts competitive landscape toward combination cellular + checkpoint inhibitor strategies, requiring significant capital investment in manufacturing capabilities, supply chain logistics, and personalized medicine infrastructure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Trial design enrolled 91 pMMR metastatic gastrointestinal cancer patients (colorectal, rectal, pancreatic, bile duct) who had exhausted standard therapeutic options; TIL were selected for neoantigen recognition and expanded ex vivo before administration with pembrolizumab checkpoint inhibitor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Cancer immunotherapy market valued at $110.91-$153.27 billion globally in 2025, projected to reach $305.80-$406.47 billion by 2033 at 7.89-9.02% compound annual growth rate, driven by rising cancer burden and expanding indications across solid tumors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Checkpoint inhibitor market segment valued at $36.8-$47.5 billion in 2025, expected to reach $177.4 billion by 2034; PD-1/PD-L1 inhibitors alone valued at $62.23 billion in 2025 with projection to $204.31 billion by 2032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Iovance achieved approximately $340 million total revenue since Q1 2024 through September 30, 2025, with 75 TIL therapies under development globally and 100+ clinical trials underway across multiple cancer indications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Monitor Iovance indication expansion into pancreatic, ovarian, and gastric cancers (2025-2027) and potential manufacturing efficiency improvements reducing treatment timelines and costs through process optimization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Track Bristol Myers Squibb-BioNTech bispecific antibody candidate BNT327 Phase 3 trial for triple negative breast cancer (planned end of 2025) and Merck-IO Biotech IOB-022/KN-D38 Phase 3 melanoma results as competitive combination therapy benchmarks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Assess next-generation TIL development including CRISPR-edited and engineered TIL therapies with enhanced anti-tumor activity (2027-2030), along with predictive biomarker development for improved patient selection and response prediction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Evaluate potential M&amp;A consolidation activity as large pharmaceutical companies acquire or partner with TIL/cellular therapy companies to address manufacturing scale-up requirements and competitive positioning in $5 billion projected 2035 market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https://www.cancer.gov/news-events/press-releases/2025/combination-immunotherapy-shrinks-solid-tumors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https://pmc.ncbi.nlm.nih.gov/articles/PMC12315913/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https://pubmed.ncbi.nlm.nih.gov/40169866/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https://www.cancernetwork.com/view/neoantigen-specific-til-pembrolizumab-elicit-responses-in-gi-cancers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https://ascopost.com/news/april-2025/neoantigen-selected-tils-boost-response-to-immunotherapy-in-heavily-pretreated-gi-cancers/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https://www.biospace.com/press-releases/pd-1-and-pd-l1-inhibitor-market-to-hit-usd-62-23-bn-in-2025-amid-rising-cancer-burden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https://www.nasdaq.com/press-release/iovance-biotherapeutics-highlights-strong-fourth-quarter-and-full-year-2025-results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https://news.bms.com/news/corporate-financial/2025/Bristol-Myers-Squibb-to-Present-Data-at-ESMO-2025-Showcasing-Progress-of-Oncology-Portfolio-Across-Diverse-Tumor-Types/default.aspx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https://www.merck.com/news/merck-advances-oncology-innovation-highlighting-progress-in-new-tumor-types-and-earlier-stages-of-disease-at-esmo-2025/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https://www.globenewswire.com/news-release/2025/04/01/3053743/28124/en/Tumor-infiltrating-Lymphocyte-TIL-Therapies-Global-Market-Report-2025-75-Therapies-are-Under-Development-and-100-Clinical-Trials-are-Underway-Globally.html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LYRcjTwbXXMyNGwqd+sUdoAEw==">CgMxLjA4AHIhMU9nZDM4TzJBVlV4bnU3ZGdGZlFnQ0diVmZSTk5oeXFB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