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TITLE: NCI at AACR Annual Meeting 2026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COMPANY: Multiple Competitors (Merck, Moderna, BMS, Revolution Medicines, Zymeworks, Antengene, Exact Sciences)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DATE: April 17-22, 2026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WHAT HAPPENED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AACR Annual Meeting 2026 showcased transformative shifts in oncology therapeutics with ADCs, immunotherapy combinations, AI-driven drug discovery, and ctDNA/MRD detection as dominant themes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 competitors presented clinical data: Merck's PD-1/VEGF combination ($588M investment), Moderna's mRNA-4359 + Keytruda, Revolution Medicines' zoldonrasib, and multiple ADC platforms from Zymeworks, Antengene, NEOK Bio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integration reached critical mass with dedicated plenary sessions, BostonGene's 13 abstracts on AI foundation models, and Insilico Medicine's pan-KRAS inhibitor ISM6166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ctDNA/MRD testing transitioned from research to clinical availability for colon, breast, and lung cancers with Exact Sciences leading diagnostic platform expansion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IMPACT (CI PoV): High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ADC market explosion (180+ companies, 290+ drugs in development, $6.8B to $15.4B by 2029) creates direct competitive pressure on AbbVie's oncology portfolio positioning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Merck's $588M PD-1/VEGF combination threatens Keytruda succession planning and challenges AbbVie's immunotherapy differentiation strategy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Combination therapy paradigm shift (checkpoint + targeted, ADC + IO) requires AbbVie to accelerate multi-target development or risk monotherapy obsolescence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AI-driven drug discovery adoption by competitors (BostonGene, Insilico Medicine, NeoGenomics) creates development speed and biomarker validation advantages that could compress AbbVie's time-to-market windows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cancer biopharmaceuticals market projected to reach $300B by 2033, with oncology therapeutics growing 7.7% CAGR—AbbVie must secure competitive positioning in high-growth segments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Combination therapy becoming standard of care across indications; monotherapy assets face diminishing commercial viability and reimbursement pressure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integration and ctDNA diagnostics enabling precision medicine approaches that improve patient stratification, treatment selection, and outcomes monitoring—competitors investing heavily gain first-mover advantages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 consolidation signals (M&amp;A spike, strategic partnerships, capital availability) indicate competitive landscape restructuring that could disadvantage late movers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TELL ME MORE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ADC competitive landscape: Zymeworks' pan-RASi ADC (Abstract #1642) targets RAS-sensitive cancers; Antengene's ATG-125 combines B7-H3 x PD-L1 bispecific with ADC payload; Beyond Spring's plinabulin dramatically improves ADC complete response rates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Immunotherapy ORR benchmarks: Akeso/Summit's ivonescimab achieved 50% ORR, BioNTech 47% ORR, establishing competitive thresholds for combination approaches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applications: Dedicated AACR plenary (Chair: Jakob Nikolas Kather) on AI in biomarker discovery; deep learning advancing digital pathology from morphology to multimodal biomarkers; Insilico's ISM6166 demonstrates high binding affinity through AI-driven design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ctDNA/MRD session (Chair: Viktor Adalsteinsson, Broad Institute) highlighted ultrasensitive whole-genome sequencing for postoperative detection in colorectal cancer and MRI-ctDNA combinations for HPV-related throat cancer treatment decisions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Merck's PD-1/VEGF Phase 3 progression and commercial launch timing to assess Keytruda franchise extension threat and inform AbbVie's checkpoint inhibitor strategy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ADC platform partnerships and M&amp;A activity (e.g., WuXi XDC collaborations) as indicators of capability consolidation and potential acquisition targets for AbbVie portfolio gaps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AI drug discovery platform investments or partnerships to accelerate biomarker validation, patient stratification, and development timelines—competitors' 2-3 year head start creates urgency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 ctDNA/MRD diagnostic partnerships to integrate companion diagnostics with AbbVie oncology assets for precision medicine positioning and treatment monitoring capabilities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Prioritize combination therapy clinical programs addressing resistance mechanisms; monotherapy differentiation strategies face declining commercial viability in evolving standard-of-care landscape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https://www.cancer.gov/news-events/events/conferences/aacr-2026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https://www.aacr.org/meeting/aacr-annual-meeting-2026/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https://www.aacr.org/blog/2026/04/20/live-updates-from-the-aacr-annual-meeting-2026-monday-april-20/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https://www.statnews.com/2026/04/22/aacr-2026-revolution-medicines-astrazeneca-oncology-research/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https://www.labiotech.eu/trends-news/aacr-2026-cancer-therapeutics/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https://www.biospace.com/drug-development/mercks-pd-1-vegf-data-star-in-stacked-lineup-of-aacr-26-data-reveals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7. https://www.aacrmeetingnews.org/sessions-on-artificial-intelligence-inform-researchers-of-current-and-emerging-applications/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8. https://www.exactsciences.com/news-events/press-releases/exact-sciences-to-present-new-molecular-residual-disease-and-multi-cancer-early-detection-data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dgke3x7oIAhkymq/v2sIZJ6GLA==">CgMxLjA4AHIhMUR5SnZUT3hWMTFQaHlzLUpnOE53UE96eGtmX1FCSWxJ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