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288"/>
      </w:tblGrid>
      <w:tr w:rsidR="002773BD" w:rsidRPr="003A4E1A" w14:paraId="1B75E729" w14:textId="77777777" w:rsidTr="001B503A">
        <w:trPr>
          <w:trHeight w:val="1296"/>
        </w:trPr>
        <w:tc>
          <w:tcPr>
            <w:tcW w:w="9288" w:type="dxa"/>
            <w:tcMar>
              <w:top w:w="0" w:type="dxa"/>
              <w:left w:w="108" w:type="dxa"/>
              <w:bottom w:w="0" w:type="dxa"/>
              <w:right w:w="108" w:type="dxa"/>
            </w:tcMar>
            <w:hideMark/>
          </w:tcPr>
          <w:p w14:paraId="4769DA55" w14:textId="7842ABA8" w:rsidR="002773BD" w:rsidRPr="003F6B34" w:rsidRDefault="002773BD" w:rsidP="007A0F67">
            <w:pPr>
              <w:rPr>
                <w:rFonts w:ascii="Calibri" w:eastAsia="Times New Roman" w:hAnsi="Calibri" w:cs="Calibri"/>
                <w:b/>
                <w:bCs/>
                <w:color w:val="015671"/>
                <w:sz w:val="8"/>
                <w:szCs w:val="8"/>
              </w:rPr>
            </w:pPr>
            <w:bookmarkStart w:id="0" w:name="_Hlk125641446"/>
          </w:p>
          <w:p w14:paraId="42E9B948" w14:textId="6BFECC29" w:rsidR="002773BD" w:rsidRPr="003A4E1A" w:rsidRDefault="00D036BC" w:rsidP="00FE675F">
            <w:r w:rsidRPr="00D948E7">
              <w:rPr>
                <w:noProof/>
              </w:rPr>
              <w:drawing>
                <wp:inline distT="0" distB="0" distL="0" distR="0" wp14:anchorId="28EB22D4" wp14:editId="5FA3E213">
                  <wp:extent cx="5760720" cy="1004434"/>
                  <wp:effectExtent l="0" t="0" r="0" b="5715"/>
                  <wp:docPr id="51192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760720" cy="1004434"/>
                          </a:xfrm>
                          <a:prstGeom prst="rect">
                            <a:avLst/>
                          </a:prstGeom>
                          <a:noFill/>
                          <a:ln>
                            <a:noFill/>
                          </a:ln>
                        </pic:spPr>
                      </pic:pic>
                    </a:graphicData>
                  </a:graphic>
                </wp:inline>
              </w:drawing>
            </w:r>
          </w:p>
        </w:tc>
      </w:tr>
      <w:tr w:rsidR="002773BD" w:rsidRPr="003A4E1A" w14:paraId="31CD5D6D" w14:textId="77777777" w:rsidTr="001B503A">
        <w:trPr>
          <w:trHeight w:val="144"/>
        </w:trPr>
        <w:tc>
          <w:tcPr>
            <w:tcW w:w="9288" w:type="dxa"/>
            <w:tcMar>
              <w:top w:w="0" w:type="dxa"/>
              <w:left w:w="108" w:type="dxa"/>
              <w:bottom w:w="0" w:type="dxa"/>
              <w:right w:w="108" w:type="dxa"/>
            </w:tcMar>
            <w:vAlign w:val="bottom"/>
          </w:tcPr>
          <w:p w14:paraId="1A5A80CC" w14:textId="77777777" w:rsidR="001B503A" w:rsidRDefault="001B503A"/>
          <w:tbl>
            <w:tblPr>
              <w:tblW w:w="0" w:type="auto"/>
              <w:tblCellMar>
                <w:left w:w="0" w:type="dxa"/>
                <w:right w:w="0" w:type="dxa"/>
              </w:tblCellMar>
              <w:tblLook w:val="04A0" w:firstRow="1" w:lastRow="0" w:firstColumn="1" w:lastColumn="0" w:noHBand="0" w:noVBand="1"/>
            </w:tblPr>
            <w:tblGrid>
              <w:gridCol w:w="4546"/>
              <w:gridCol w:w="4526"/>
            </w:tblGrid>
            <w:tr w:rsidR="007A4084" w14:paraId="7A174E09" w14:textId="77777777" w:rsidTr="00F037F1">
              <w:trPr>
                <w:trHeight w:val="720"/>
              </w:trPr>
              <w:tc>
                <w:tcPr>
                  <w:tcW w:w="9294" w:type="dxa"/>
                  <w:gridSpan w:val="2"/>
                  <w:tcBorders>
                    <w:top w:val="nil"/>
                    <w:left w:val="nil"/>
                    <w:bottom w:val="single" w:sz="12" w:space="0" w:color="071D49"/>
                    <w:right w:val="nil"/>
                  </w:tcBorders>
                </w:tcPr>
                <w:p w14:paraId="239A861A" w14:textId="3ECDEC6C" w:rsidR="007A4084" w:rsidRDefault="00D107C2" w:rsidP="0030034C">
                  <w:pPr>
                    <w:jc w:val="center"/>
                    <w:rPr>
                      <w:rFonts w:ascii="Aptos" w:hAnsi="Aptos"/>
                      <w:b/>
                      <w:bCs/>
                      <w:lang w:val="en-GB" w:eastAsia="ja-JP"/>
                    </w:rPr>
                  </w:pPr>
                  <w:bookmarkStart w:id="1" w:name="_MailOriginal"/>
                  <w:bookmarkStart w:id="2" w:name="_Hlk96516995"/>
                  <w:r>
                    <w:rPr>
                      <w:rFonts w:ascii="Aptos" w:hAnsi="Aptos" w:cs="Calibri"/>
                      <w:b/>
                      <w:bCs/>
                      <w:color w:val="002060"/>
                      <w:sz w:val="32"/>
                      <w:szCs w:val="32"/>
                      <w:lang w:val="en-GB" w:eastAsia="ja-JP"/>
                    </w:rPr>
                    <w:t xml:space="preserve">Journal of </w:t>
                  </w:r>
                  <w:r w:rsidRPr="00792048">
                    <w:rPr>
                      <w:rFonts w:ascii="Aptos" w:hAnsi="Aptos" w:cs="Calibri"/>
                      <w:b/>
                      <w:bCs/>
                      <w:i/>
                      <w:iCs/>
                      <w:color w:val="002060"/>
                      <w:sz w:val="32"/>
                      <w:szCs w:val="32"/>
                      <w:lang w:val="en-GB" w:eastAsia="ja-JP"/>
                    </w:rPr>
                    <w:t>Advances in Therapy</w:t>
                  </w:r>
                  <w:r>
                    <w:rPr>
                      <w:rFonts w:ascii="Aptos" w:hAnsi="Aptos" w:cs="Calibri"/>
                      <w:b/>
                      <w:bCs/>
                      <w:color w:val="002060"/>
                      <w:sz w:val="32"/>
                      <w:szCs w:val="32"/>
                      <w:lang w:val="en-GB" w:eastAsia="ja-JP"/>
                    </w:rPr>
                    <w:t xml:space="preserve"> published </w:t>
                  </w:r>
                  <w:r w:rsidR="00792048">
                    <w:rPr>
                      <w:rFonts w:ascii="Aptos" w:hAnsi="Aptos" w:cs="Calibri"/>
                      <w:b/>
                      <w:bCs/>
                      <w:color w:val="002060"/>
                      <w:sz w:val="32"/>
                      <w:szCs w:val="32"/>
                      <w:lang w:val="en-GB" w:eastAsia="ja-JP"/>
                    </w:rPr>
                    <w:t xml:space="preserve">a BeOne-funded review article </w:t>
                  </w:r>
                  <w:r w:rsidR="00CC2D88">
                    <w:rPr>
                      <w:rFonts w:ascii="Aptos" w:hAnsi="Aptos" w:cs="Calibri"/>
                      <w:b/>
                      <w:bCs/>
                      <w:color w:val="002060"/>
                      <w:sz w:val="32"/>
                      <w:szCs w:val="32"/>
                      <w:lang w:val="en-GB" w:eastAsia="ja-JP"/>
                    </w:rPr>
                    <w:t>on FDT regimens in CLL</w:t>
                  </w:r>
                </w:p>
              </w:tc>
            </w:tr>
            <w:tr w:rsidR="007A4084" w14:paraId="6CEB7BB1" w14:textId="77777777" w:rsidTr="00D412E8">
              <w:trPr>
                <w:trHeight w:val="510"/>
              </w:trPr>
              <w:tc>
                <w:tcPr>
                  <w:tcW w:w="4546" w:type="dxa"/>
                  <w:tcBorders>
                    <w:top w:val="single" w:sz="12" w:space="0" w:color="071D49"/>
                    <w:left w:val="nil"/>
                    <w:bottom w:val="single" w:sz="12" w:space="0" w:color="071D49"/>
                    <w:right w:val="nil"/>
                  </w:tcBorders>
                  <w:vAlign w:val="center"/>
                  <w:hideMark/>
                </w:tcPr>
                <w:p w14:paraId="6B19B11E" w14:textId="596DE383" w:rsidR="007A4084" w:rsidRPr="00517E90" w:rsidRDefault="007A4084" w:rsidP="007A4084">
                  <w:pPr>
                    <w:jc w:val="center"/>
                    <w:rPr>
                      <w:rFonts w:ascii="Aptos" w:hAnsi="Aptos" w:cs="Calibri"/>
                      <w:sz w:val="16"/>
                      <w:szCs w:val="16"/>
                      <w:lang w:eastAsia="ko-KR"/>
                      <w14:ligatures w14:val="standardContextual"/>
                    </w:rPr>
                  </w:pPr>
                  <w:r w:rsidRPr="00517E90">
                    <w:rPr>
                      <w:rFonts w:ascii="Aptos" w:hAnsi="Aptos" w:cs="Calibri"/>
                      <w:b/>
                      <w:bCs/>
                      <w:sz w:val="16"/>
                      <w:szCs w:val="16"/>
                    </w:rPr>
                    <w:t>Company:</w:t>
                  </w:r>
                  <w:r w:rsidRPr="00517E90">
                    <w:rPr>
                      <w:rFonts w:ascii="Aptos" w:hAnsi="Aptos" w:cs="Calibri"/>
                      <w:sz w:val="16"/>
                      <w:szCs w:val="16"/>
                    </w:rPr>
                    <w:t xml:space="preserve"> </w:t>
                  </w:r>
                  <w:r w:rsidR="0028563B">
                    <w:rPr>
                      <w:rFonts w:ascii="Aptos" w:hAnsi="Aptos" w:cs="Calibri"/>
                      <w:sz w:val="16"/>
                      <w:szCs w:val="16"/>
                    </w:rPr>
                    <w:t>BeOne Medicines</w:t>
                  </w:r>
                </w:p>
                <w:p w14:paraId="53ACC3DC" w14:textId="7381689D" w:rsidR="007A4084" w:rsidRPr="00517E90" w:rsidRDefault="007A4084" w:rsidP="007A4084">
                  <w:pPr>
                    <w:jc w:val="center"/>
                    <w:rPr>
                      <w:rFonts w:ascii="Aptos" w:hAnsi="Aptos" w:cs="Calibri"/>
                      <w:b/>
                      <w:bCs/>
                      <w:sz w:val="16"/>
                      <w:szCs w:val="16"/>
                    </w:rPr>
                  </w:pPr>
                  <w:r w:rsidRPr="00517E90">
                    <w:rPr>
                      <w:rFonts w:ascii="Aptos" w:hAnsi="Aptos" w:cs="Calibri"/>
                      <w:b/>
                      <w:bCs/>
                      <w:sz w:val="16"/>
                      <w:szCs w:val="16"/>
                    </w:rPr>
                    <w:t>Drug:</w:t>
                  </w:r>
                  <w:r w:rsidRPr="00517E90">
                    <w:rPr>
                      <w:rFonts w:ascii="Aptos" w:hAnsi="Aptos" w:cs="Calibri"/>
                      <w:sz w:val="16"/>
                      <w:szCs w:val="16"/>
                    </w:rPr>
                    <w:t xml:space="preserve"> </w:t>
                  </w:r>
                  <w:r w:rsidR="0028563B" w:rsidRPr="0028563B">
                    <w:rPr>
                      <w:rFonts w:ascii="Aptos" w:hAnsi="Aptos" w:cs="Calibri"/>
                      <w:sz w:val="16"/>
                      <w:szCs w:val="16"/>
                    </w:rPr>
                    <w:t>Sonrotoclax (BCL2i)</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57C0E041" w:rsidR="007A4084" w:rsidRPr="00517E90" w:rsidRDefault="007A4084" w:rsidP="007A4084">
                  <w:pPr>
                    <w:jc w:val="center"/>
                    <w:rPr>
                      <w:rFonts w:ascii="Aptos" w:hAnsi="Aptos" w:cs="Calibri"/>
                      <w:sz w:val="16"/>
                      <w:szCs w:val="16"/>
                    </w:rPr>
                  </w:pPr>
                  <w:r w:rsidRPr="00517E90">
                    <w:rPr>
                      <w:rFonts w:ascii="Aptos" w:hAnsi="Aptos" w:cs="Calibri"/>
                      <w:b/>
                      <w:bCs/>
                      <w:sz w:val="16"/>
                      <w:szCs w:val="16"/>
                    </w:rPr>
                    <w:t>Date:</w:t>
                  </w:r>
                  <w:r w:rsidRPr="00517E90">
                    <w:rPr>
                      <w:rFonts w:ascii="Aptos" w:hAnsi="Aptos" w:cs="Calibri"/>
                      <w:sz w:val="16"/>
                      <w:szCs w:val="16"/>
                    </w:rPr>
                    <w:t xml:space="preserve"> </w:t>
                  </w:r>
                  <w:r w:rsidR="0028563B">
                    <w:rPr>
                      <w:rFonts w:ascii="Aptos" w:hAnsi="Aptos" w:cs="Calibri"/>
                      <w:sz w:val="16"/>
                      <w:szCs w:val="16"/>
                    </w:rPr>
                    <w:t>Feb 10</w:t>
                  </w:r>
                  <w:r w:rsidR="00CF667A">
                    <w:rPr>
                      <w:rFonts w:ascii="Aptos" w:hAnsi="Aptos" w:cs="Calibri"/>
                      <w:sz w:val="16"/>
                      <w:szCs w:val="16"/>
                    </w:rPr>
                    <w:t>,</w:t>
                  </w:r>
                  <w:r w:rsidR="0085548E" w:rsidRPr="00517E90">
                    <w:rPr>
                      <w:rFonts w:ascii="Aptos" w:hAnsi="Aptos" w:cs="Calibri"/>
                      <w:sz w:val="16"/>
                      <w:szCs w:val="16"/>
                    </w:rPr>
                    <w:t xml:space="preserve"> </w:t>
                  </w:r>
                  <w:r w:rsidR="0028563B">
                    <w:rPr>
                      <w:rFonts w:ascii="Aptos" w:hAnsi="Aptos" w:cs="Calibri"/>
                      <w:sz w:val="16"/>
                      <w:szCs w:val="16"/>
                    </w:rPr>
                    <w:t>2026</w:t>
                  </w:r>
                </w:p>
                <w:p w14:paraId="02575F31" w14:textId="4C02BE48" w:rsidR="007A4084" w:rsidRPr="00517E90" w:rsidRDefault="007A4084" w:rsidP="007A4084">
                  <w:pPr>
                    <w:jc w:val="center"/>
                    <w:rPr>
                      <w:rFonts w:ascii="Aptos" w:hAnsi="Aptos" w:cs="Calibri"/>
                      <w:sz w:val="16"/>
                      <w:szCs w:val="16"/>
                    </w:rPr>
                  </w:pPr>
                  <w:r w:rsidRPr="00517E90">
                    <w:rPr>
                      <w:rFonts w:ascii="Aptos" w:hAnsi="Aptos" w:cs="Calibri"/>
                      <w:b/>
                      <w:bCs/>
                      <w:sz w:val="16"/>
                      <w:szCs w:val="16"/>
                    </w:rPr>
                    <w:t>Source(s):</w:t>
                  </w:r>
                  <w:r w:rsidRPr="00517E90">
                    <w:rPr>
                      <w:rFonts w:ascii="Aptos" w:hAnsi="Aptos" w:cs="Calibri"/>
                      <w:sz w:val="16"/>
                      <w:szCs w:val="16"/>
                    </w:rPr>
                    <w:t xml:space="preserve"> </w:t>
                  </w:r>
                  <w:commentRangeStart w:id="3"/>
                  <w:r w:rsidR="00E161CF">
                    <w:fldChar w:fldCharType="begin"/>
                  </w:r>
                  <w:r w:rsidR="00E161CF">
                    <w:instrText>HYPERLINK "https://link.springer.com/article/10.1007/s12325-025-03486-z"</w:instrText>
                  </w:r>
                  <w:r w:rsidR="00E161CF">
                    <w:fldChar w:fldCharType="separate"/>
                  </w:r>
                  <w:r w:rsidR="00E161CF" w:rsidRPr="00480EA6">
                    <w:rPr>
                      <w:rStyle w:val="Hyperlink"/>
                      <w:rFonts w:ascii="Aptos" w:hAnsi="Aptos" w:cs="Calibri"/>
                      <w:sz w:val="16"/>
                      <w:szCs w:val="16"/>
                    </w:rPr>
                    <w:t>Review article</w:t>
                  </w:r>
                  <w:r w:rsidR="00E161CF">
                    <w:fldChar w:fldCharType="end"/>
                  </w:r>
                  <w:commentRangeEnd w:id="3"/>
                  <w:r w:rsidR="00184A3F" w:rsidRPr="00517E90">
                    <w:rPr>
                      <w:rStyle w:val="CommentReference"/>
                      <w:rFonts w:ascii="Aptos" w:hAnsi="Aptos" w:cs="Calibri"/>
                    </w:rPr>
                    <w:commentReference w:id="3"/>
                  </w:r>
                </w:p>
              </w:tc>
            </w:tr>
            <w:tr w:rsidR="007A4084" w14:paraId="0AB49604" w14:textId="77777777" w:rsidTr="00D412E8">
              <w:tc>
                <w:tcPr>
                  <w:tcW w:w="9294" w:type="dxa"/>
                  <w:gridSpan w:val="2"/>
                  <w:tcBorders>
                    <w:top w:val="single" w:sz="12" w:space="0" w:color="071D49"/>
                  </w:tcBorders>
                </w:tcPr>
                <w:p w14:paraId="20F52B8B" w14:textId="77777777" w:rsidR="007A4084" w:rsidRPr="00517E90" w:rsidRDefault="007A4084" w:rsidP="007A4084">
                  <w:pPr>
                    <w:rPr>
                      <w:rFonts w:ascii="Aptos" w:hAnsi="Aptos" w:cs="Calibri"/>
                      <w:color w:val="242424"/>
                    </w:rPr>
                  </w:pPr>
                </w:p>
                <w:p w14:paraId="11E06848" w14:textId="77777777" w:rsidR="00CD02FE" w:rsidRPr="00517E90" w:rsidRDefault="00CD02FE" w:rsidP="007A4084">
                  <w:pPr>
                    <w:rPr>
                      <w:rFonts w:ascii="Aptos" w:hAnsi="Aptos" w:cs="Calibri"/>
                      <w:color w:val="242424"/>
                    </w:rPr>
                  </w:pPr>
                </w:p>
                <w:p w14:paraId="7D35EAD5" w14:textId="77777777" w:rsidR="00D842D8" w:rsidRPr="00D412E8" w:rsidRDefault="00D842D8" w:rsidP="00D842D8">
                  <w:pPr>
                    <w:keepNext/>
                    <w:rPr>
                      <w:rFonts w:ascii="Aptos" w:hAnsi="Aptos" w:cs="Calibri"/>
                      <w:b/>
                      <w:bCs/>
                      <w:color w:val="071D49"/>
                      <w:sz w:val="28"/>
                      <w:szCs w:val="28"/>
                    </w:rPr>
                  </w:pPr>
                  <w:r w:rsidRPr="00D412E8">
                    <w:rPr>
                      <w:rFonts w:ascii="Aptos" w:hAnsi="Aptos" w:cs="Calibri"/>
                      <w:b/>
                      <w:bCs/>
                      <w:color w:val="071D49"/>
                      <w:sz w:val="28"/>
                      <w:szCs w:val="28"/>
                    </w:rPr>
                    <w:t xml:space="preserve">What happened: </w:t>
                  </w:r>
                </w:p>
                <w:p w14:paraId="74BABFEF" w14:textId="37FD4050" w:rsidR="00D842D8" w:rsidRPr="00AD3162" w:rsidRDefault="00CC2D88" w:rsidP="00577AA0">
                  <w:pPr>
                    <w:pStyle w:val="ListParagraph"/>
                    <w:keepNext/>
                    <w:numPr>
                      <w:ilvl w:val="0"/>
                      <w:numId w:val="12"/>
                    </w:numPr>
                    <w:contextualSpacing w:val="0"/>
                    <w:rPr>
                      <w:rFonts w:ascii="Aptos" w:hAnsi="Aptos" w:cs="Calibri"/>
                      <w:b/>
                      <w:bCs/>
                      <w:color w:val="242424"/>
                      <w:lang w:val="en-GB" w:eastAsia="ja-JP"/>
                    </w:rPr>
                  </w:pPr>
                  <w:r w:rsidRPr="00171C08">
                    <w:rPr>
                      <w:rFonts w:ascii="Aptos" w:hAnsi="Aptos" w:cs="Calibri"/>
                      <w:color w:val="242424"/>
                      <w:lang w:val="en-GB" w:eastAsia="ja-JP"/>
                    </w:rPr>
                    <w:t xml:space="preserve">On Feb 2, 2026, </w:t>
                  </w:r>
                  <w:r w:rsidR="00171C08" w:rsidRPr="00171C08">
                    <w:rPr>
                      <w:rFonts w:ascii="Aptos" w:hAnsi="Aptos" w:cs="Calibri"/>
                      <w:color w:val="242424"/>
                      <w:lang w:val="en-GB" w:eastAsia="ja-JP"/>
                    </w:rPr>
                    <w:t xml:space="preserve">the </w:t>
                  </w:r>
                  <w:r w:rsidR="00AD3162">
                    <w:rPr>
                      <w:rFonts w:ascii="Aptos" w:hAnsi="Aptos" w:cs="Calibri"/>
                      <w:color w:val="242424"/>
                      <w:lang w:val="en-GB" w:eastAsia="ja-JP"/>
                    </w:rPr>
                    <w:t xml:space="preserve">journal of </w:t>
                  </w:r>
                  <w:r w:rsidR="00AD3162" w:rsidRPr="00263D21">
                    <w:rPr>
                      <w:rFonts w:ascii="Aptos" w:hAnsi="Aptos" w:cs="Calibri"/>
                      <w:i/>
                      <w:iCs/>
                      <w:color w:val="242424"/>
                      <w:lang w:val="en-GB" w:eastAsia="ja-JP"/>
                    </w:rPr>
                    <w:t>Advances in Therapy</w:t>
                  </w:r>
                  <w:r w:rsidR="00AD3162">
                    <w:rPr>
                      <w:rFonts w:ascii="Aptos" w:hAnsi="Aptos" w:cs="Calibri"/>
                      <w:color w:val="242424"/>
                      <w:lang w:val="en-GB" w:eastAsia="ja-JP"/>
                    </w:rPr>
                    <w:t xml:space="preserve"> published a </w:t>
                  </w:r>
                  <w:r w:rsidR="00AD3162" w:rsidRPr="00AD3162">
                    <w:rPr>
                      <w:rFonts w:ascii="Aptos" w:hAnsi="Aptos" w:cs="Calibri"/>
                      <w:color w:val="242424"/>
                      <w:lang w:val="en-GB" w:eastAsia="ja-JP"/>
                    </w:rPr>
                    <w:t>BeOne-funded review article</w:t>
                  </w:r>
                  <w:r w:rsidR="006E4523">
                    <w:rPr>
                      <w:rFonts w:ascii="Aptos" w:hAnsi="Aptos" w:cs="Calibri"/>
                      <w:color w:val="242424"/>
                      <w:lang w:val="en-GB" w:eastAsia="ja-JP"/>
                    </w:rPr>
                    <w:t xml:space="preserve"> </w:t>
                  </w:r>
                  <w:r w:rsidR="00B33BA3">
                    <w:rPr>
                      <w:rFonts w:ascii="Aptos" w:hAnsi="Aptos" w:cs="Calibri"/>
                      <w:color w:val="242424"/>
                      <w:lang w:val="en-GB" w:eastAsia="ja-JP"/>
                    </w:rPr>
                    <w:t>titled</w:t>
                  </w:r>
                  <w:r w:rsidR="00AD3162" w:rsidRPr="00AD3162">
                    <w:rPr>
                      <w:rFonts w:ascii="Aptos" w:hAnsi="Aptos" w:cs="Calibri"/>
                      <w:color w:val="242424"/>
                      <w:lang w:val="en-GB" w:eastAsia="ja-JP"/>
                    </w:rPr>
                    <w:t xml:space="preserve"> “</w:t>
                  </w:r>
                  <w:r w:rsidR="00AD3162" w:rsidRPr="00263D21">
                    <w:rPr>
                      <w:rFonts w:ascii="Aptos" w:hAnsi="Aptos" w:cs="Calibri"/>
                      <w:i/>
                      <w:iCs/>
                      <w:color w:val="242424"/>
                      <w:lang w:val="en-GB" w:eastAsia="ja-JP"/>
                    </w:rPr>
                    <w:t>Have Fixed-Duration (FD) Regimens Delivered on Their Promise in Chronic Lymphocytic Leukemia and What Is the Future of FD Regimens? A Narrative Review</w:t>
                  </w:r>
                  <w:r w:rsidR="00AD3162" w:rsidRPr="00AD3162">
                    <w:rPr>
                      <w:rFonts w:ascii="Aptos" w:hAnsi="Aptos" w:cs="Calibri"/>
                      <w:color w:val="242424"/>
                      <w:lang w:val="en-GB" w:eastAsia="ja-JP"/>
                    </w:rPr>
                    <w:t>”</w:t>
                  </w:r>
                </w:p>
                <w:p w14:paraId="65BC9E60" w14:textId="3E4B5371" w:rsidR="00AD3162" w:rsidRPr="00900B07" w:rsidRDefault="00AD3162" w:rsidP="00577AA0">
                  <w:pPr>
                    <w:pStyle w:val="ListParagraph"/>
                    <w:keepNext/>
                    <w:numPr>
                      <w:ilvl w:val="0"/>
                      <w:numId w:val="12"/>
                    </w:numPr>
                    <w:contextualSpacing w:val="0"/>
                    <w:rPr>
                      <w:rFonts w:ascii="Aptos" w:hAnsi="Aptos" w:cs="Calibri"/>
                      <w:b/>
                      <w:bCs/>
                      <w:color w:val="242424"/>
                      <w:lang w:val="en-GB" w:eastAsia="ja-JP"/>
                    </w:rPr>
                  </w:pPr>
                  <w:r>
                    <w:rPr>
                      <w:rFonts w:ascii="Aptos" w:hAnsi="Aptos" w:cs="Calibri"/>
                      <w:color w:val="242424"/>
                      <w:lang w:val="en-GB" w:eastAsia="ja-JP"/>
                    </w:rPr>
                    <w:t xml:space="preserve">The </w:t>
                  </w:r>
                  <w:r w:rsidR="009B3521">
                    <w:rPr>
                      <w:rFonts w:ascii="Aptos" w:hAnsi="Aptos" w:cs="Calibri"/>
                      <w:color w:val="242424"/>
                      <w:lang w:val="en-GB" w:eastAsia="ja-JP"/>
                    </w:rPr>
                    <w:t>review</w:t>
                  </w:r>
                  <w:r w:rsidR="00A7268F">
                    <w:rPr>
                      <w:rFonts w:ascii="Aptos" w:hAnsi="Aptos" w:cs="Calibri"/>
                      <w:color w:val="242424"/>
                      <w:lang w:val="en-GB" w:eastAsia="ja-JP"/>
                    </w:rPr>
                    <w:t xml:space="preserve"> highlights that </w:t>
                  </w:r>
                  <w:r w:rsidR="00B75273">
                    <w:rPr>
                      <w:rFonts w:ascii="Aptos" w:hAnsi="Aptos" w:cs="Calibri"/>
                      <w:color w:val="242424"/>
                      <w:lang w:val="en-GB" w:eastAsia="ja-JP"/>
                    </w:rPr>
                    <w:t>fixed-duration regimens (FTD)</w:t>
                  </w:r>
                  <w:r w:rsidR="00E7321B">
                    <w:rPr>
                      <w:rFonts w:ascii="Aptos" w:hAnsi="Aptos" w:cs="Calibri"/>
                      <w:color w:val="242424"/>
                      <w:lang w:val="en-GB" w:eastAsia="ja-JP"/>
                    </w:rPr>
                    <w:t xml:space="preserve"> </w:t>
                  </w:r>
                  <w:commentRangeStart w:id="4"/>
                  <w:r w:rsidR="00E7321B">
                    <w:rPr>
                      <w:rFonts w:ascii="Aptos" w:hAnsi="Aptos" w:cs="Calibri"/>
                      <w:color w:val="242424"/>
                      <w:lang w:val="en-GB" w:eastAsia="ja-JP"/>
                    </w:rPr>
                    <w:t>regimens</w:t>
                  </w:r>
                  <w:commentRangeEnd w:id="4"/>
                  <w:r w:rsidR="006D5775">
                    <w:rPr>
                      <w:rStyle w:val="CommentReference"/>
                      <w:rFonts w:ascii="Aptos" w:hAnsi="Aptos" w:cs="Calibri"/>
                      <w:color w:val="242424"/>
                      <w:sz w:val="24"/>
                      <w:szCs w:val="24"/>
                      <w:lang w:val="en-GB" w:eastAsia="ja-JP"/>
                    </w:rPr>
                    <w:commentReference w:id="4"/>
                  </w:r>
                  <w:r w:rsidR="00E7321B">
                    <w:rPr>
                      <w:rFonts w:ascii="Aptos" w:hAnsi="Aptos" w:cs="Calibri"/>
                      <w:color w:val="242424"/>
                      <w:lang w:val="en-GB" w:eastAsia="ja-JP"/>
                    </w:rPr>
                    <w:t xml:space="preserve"> represent a positive step in the CLL</w:t>
                  </w:r>
                  <w:r w:rsidR="008F5093">
                    <w:rPr>
                      <w:rFonts w:ascii="Aptos" w:hAnsi="Aptos" w:cs="Calibri"/>
                      <w:color w:val="242424"/>
                      <w:lang w:val="en-GB" w:eastAsia="ja-JP"/>
                    </w:rPr>
                    <w:t xml:space="preserve">/SLL therapeutic landscape, </w:t>
                  </w:r>
                  <w:r w:rsidR="006D5775">
                    <w:rPr>
                      <w:rFonts w:ascii="Aptos" w:hAnsi="Aptos" w:cs="Calibri"/>
                      <w:color w:val="242424"/>
                      <w:lang w:val="en-GB" w:eastAsia="ja-JP"/>
                    </w:rPr>
                    <w:t>however,</w:t>
                  </w:r>
                  <w:r w:rsidR="008F5093">
                    <w:rPr>
                      <w:rFonts w:ascii="Aptos" w:hAnsi="Aptos" w:cs="Calibri"/>
                      <w:color w:val="242424"/>
                      <w:lang w:val="en-GB" w:eastAsia="ja-JP"/>
                    </w:rPr>
                    <w:t xml:space="preserve"> </w:t>
                  </w:r>
                  <w:r w:rsidR="00B32ECA">
                    <w:rPr>
                      <w:rFonts w:ascii="Aptos" w:hAnsi="Aptos" w:cs="Calibri"/>
                      <w:color w:val="242424"/>
                      <w:lang w:val="en-GB" w:eastAsia="ja-JP"/>
                    </w:rPr>
                    <w:t xml:space="preserve">portrays </w:t>
                  </w:r>
                  <w:commentRangeStart w:id="5"/>
                  <w:r w:rsidR="00491983" w:rsidRPr="00491983">
                    <w:rPr>
                      <w:rFonts w:ascii="Aptos" w:hAnsi="Aptos" w:cs="Calibri"/>
                      <w:color w:val="242424"/>
                      <w:lang w:val="en-GB" w:eastAsia="ja-JP"/>
                    </w:rPr>
                    <w:t xml:space="preserve">Venclexta/ </w:t>
                  </w:r>
                  <w:proofErr w:type="spellStart"/>
                  <w:r w:rsidR="00491983" w:rsidRPr="00491983">
                    <w:rPr>
                      <w:rFonts w:ascii="Aptos" w:hAnsi="Aptos" w:cs="Calibri"/>
                      <w:color w:val="242424"/>
                      <w:lang w:val="en-GB" w:eastAsia="ja-JP"/>
                    </w:rPr>
                    <w:t>Venclyxto</w:t>
                  </w:r>
                  <w:proofErr w:type="spellEnd"/>
                  <w:r w:rsidR="00491983" w:rsidRPr="00491983">
                    <w:rPr>
                      <w:rFonts w:ascii="Aptos" w:hAnsi="Aptos" w:cs="Calibri"/>
                      <w:color w:val="242424"/>
                      <w:lang w:val="en-GB" w:eastAsia="ja-JP"/>
                    </w:rPr>
                    <w:t xml:space="preserve"> (venetoclax; BCL2i)</w:t>
                  </w:r>
                  <w:r w:rsidR="00491983">
                    <w:rPr>
                      <w:rFonts w:ascii="Aptos" w:hAnsi="Aptos" w:cs="Calibri"/>
                      <w:color w:val="242424"/>
                      <w:lang w:val="en-GB" w:eastAsia="ja-JP"/>
                    </w:rPr>
                    <w:t xml:space="preserve">- </w:t>
                  </w:r>
                  <w:commentRangeEnd w:id="5"/>
                  <w:r w:rsidR="006D5775">
                    <w:rPr>
                      <w:rStyle w:val="CommentReference"/>
                      <w:rFonts w:ascii="Aptos" w:hAnsi="Aptos" w:cs="Calibri"/>
                      <w:color w:val="242424"/>
                      <w:sz w:val="24"/>
                      <w:szCs w:val="24"/>
                      <w:lang w:val="en-GB" w:eastAsia="ja-JP"/>
                    </w:rPr>
                    <w:commentReference w:id="5"/>
                  </w:r>
                  <w:r w:rsidR="00491983">
                    <w:rPr>
                      <w:rFonts w:ascii="Aptos" w:hAnsi="Aptos" w:cs="Calibri"/>
                      <w:color w:val="242424"/>
                      <w:lang w:val="en-GB" w:eastAsia="ja-JP"/>
                    </w:rPr>
                    <w:t xml:space="preserve">based regimens as </w:t>
                  </w:r>
                  <w:r w:rsidR="00900B07">
                    <w:rPr>
                      <w:rFonts w:ascii="Aptos" w:hAnsi="Aptos" w:cs="Calibri"/>
                      <w:color w:val="242424"/>
                      <w:lang w:val="en-GB" w:eastAsia="ja-JP"/>
                    </w:rPr>
                    <w:t>disadvantageous</w:t>
                  </w:r>
                  <w:r w:rsidR="00E32717">
                    <w:rPr>
                      <w:rFonts w:ascii="Aptos" w:hAnsi="Aptos" w:cs="Calibri"/>
                      <w:color w:val="242424"/>
                      <w:lang w:val="en-GB" w:eastAsia="ja-JP"/>
                    </w:rPr>
                    <w:t xml:space="preserve"> in </w:t>
                  </w:r>
                  <w:r w:rsidR="00900B07">
                    <w:rPr>
                      <w:rFonts w:ascii="Aptos" w:hAnsi="Aptos" w:cs="Calibri"/>
                      <w:color w:val="242424"/>
                      <w:lang w:val="en-GB" w:eastAsia="ja-JP"/>
                    </w:rPr>
                    <w:t>patients with high-risk features</w:t>
                  </w:r>
                  <w:r w:rsidR="007B6605">
                    <w:rPr>
                      <w:rFonts w:ascii="Aptos" w:hAnsi="Aptos" w:cs="Calibri"/>
                      <w:color w:val="242424"/>
                      <w:lang w:val="en-GB" w:eastAsia="ja-JP"/>
                    </w:rPr>
                    <w:t>.</w:t>
                  </w:r>
                  <w:r w:rsidR="00900B07">
                    <w:rPr>
                      <w:rFonts w:ascii="Aptos" w:hAnsi="Aptos" w:cs="Calibri"/>
                      <w:color w:val="242424"/>
                      <w:lang w:val="en-GB" w:eastAsia="ja-JP"/>
                    </w:rPr>
                    <w:t xml:space="preserve"> </w:t>
                  </w:r>
                </w:p>
                <w:p w14:paraId="3D27D12B" w14:textId="5B9BE87D" w:rsidR="00900B07" w:rsidRPr="00171C08" w:rsidRDefault="00900B07" w:rsidP="00577AA0">
                  <w:pPr>
                    <w:pStyle w:val="ListParagraph"/>
                    <w:keepNext/>
                    <w:numPr>
                      <w:ilvl w:val="1"/>
                      <w:numId w:val="12"/>
                    </w:numPr>
                    <w:contextualSpacing w:val="0"/>
                    <w:rPr>
                      <w:rFonts w:ascii="Aptos" w:hAnsi="Aptos" w:cs="Calibri"/>
                      <w:b/>
                      <w:bCs/>
                      <w:color w:val="242424"/>
                      <w:lang w:val="en-GB" w:eastAsia="ja-JP"/>
                    </w:rPr>
                  </w:pPr>
                  <w:r>
                    <w:rPr>
                      <w:rFonts w:ascii="Aptos" w:hAnsi="Aptos" w:cs="Calibri"/>
                      <w:color w:val="242424"/>
                      <w:lang w:val="en-GB" w:eastAsia="ja-JP"/>
                    </w:rPr>
                    <w:t>Sonroto</w:t>
                  </w:r>
                  <w:r w:rsidR="00ED5455">
                    <w:rPr>
                      <w:rFonts w:ascii="Aptos" w:hAnsi="Aptos" w:cs="Calibri"/>
                      <w:color w:val="242424"/>
                      <w:lang w:val="en-GB" w:eastAsia="ja-JP"/>
                    </w:rPr>
                    <w:t>clax is noted as a potential</w:t>
                  </w:r>
                  <w:r w:rsidR="00036079">
                    <w:rPr>
                      <w:rFonts w:ascii="Aptos" w:hAnsi="Aptos" w:cs="Calibri"/>
                      <w:color w:val="242424"/>
                      <w:lang w:val="en-GB" w:eastAsia="ja-JP"/>
                    </w:rPr>
                    <w:t xml:space="preserve"> next-generation</w:t>
                  </w:r>
                  <w:r w:rsidR="00ED5455">
                    <w:rPr>
                      <w:rFonts w:ascii="Aptos" w:hAnsi="Aptos" w:cs="Calibri"/>
                      <w:color w:val="242424"/>
                      <w:lang w:val="en-GB" w:eastAsia="ja-JP"/>
                    </w:rPr>
                    <w:t xml:space="preserve"> solution, but the article concludes </w:t>
                  </w:r>
                  <w:r w:rsidR="00A74062">
                    <w:rPr>
                      <w:rFonts w:ascii="Aptos" w:hAnsi="Aptos" w:cs="Calibri"/>
                      <w:color w:val="242424"/>
                      <w:lang w:val="en-GB" w:eastAsia="ja-JP"/>
                    </w:rPr>
                    <w:t xml:space="preserve">with the need for </w:t>
                  </w:r>
                  <w:r w:rsidR="00FF161A">
                    <w:rPr>
                      <w:rFonts w:ascii="Aptos" w:hAnsi="Aptos" w:cs="Calibri"/>
                      <w:color w:val="242424"/>
                      <w:lang w:val="en-GB" w:eastAsia="ja-JP"/>
                    </w:rPr>
                    <w:t xml:space="preserve">continued development </w:t>
                  </w:r>
                  <w:r w:rsidR="00036079">
                    <w:rPr>
                      <w:rFonts w:ascii="Aptos" w:hAnsi="Aptos" w:cs="Calibri"/>
                      <w:color w:val="242424"/>
                      <w:lang w:val="en-GB" w:eastAsia="ja-JP"/>
                    </w:rPr>
                    <w:t xml:space="preserve">to improve outcomes in all </w:t>
                  </w:r>
                  <w:r w:rsidR="00B4684E">
                    <w:rPr>
                      <w:rFonts w:ascii="Aptos" w:hAnsi="Aptos" w:cs="Calibri"/>
                      <w:color w:val="242424"/>
                      <w:lang w:val="en-GB" w:eastAsia="ja-JP"/>
                    </w:rPr>
                    <w:t xml:space="preserve">types of </w:t>
                  </w:r>
                  <w:r w:rsidR="00036079">
                    <w:rPr>
                      <w:rFonts w:ascii="Aptos" w:hAnsi="Aptos" w:cs="Calibri"/>
                      <w:color w:val="242424"/>
                      <w:lang w:val="en-GB" w:eastAsia="ja-JP"/>
                    </w:rPr>
                    <w:t>CLL/SLL patients</w:t>
                  </w:r>
                  <w:r w:rsidR="007B6605">
                    <w:rPr>
                      <w:rFonts w:ascii="Aptos" w:hAnsi="Aptos" w:cs="Calibri"/>
                      <w:color w:val="242424"/>
                      <w:lang w:val="en-GB" w:eastAsia="ja-JP"/>
                    </w:rPr>
                    <w:t>.</w:t>
                  </w:r>
                </w:p>
                <w:p w14:paraId="3D5F5129" w14:textId="77777777" w:rsidR="00D842D8" w:rsidRPr="00517E90" w:rsidRDefault="00D842D8" w:rsidP="007A4084">
                  <w:pPr>
                    <w:rPr>
                      <w:rFonts w:ascii="Aptos" w:hAnsi="Aptos" w:cs="Calibri"/>
                      <w:color w:val="242424"/>
                    </w:rPr>
                  </w:pPr>
                </w:p>
                <w:p w14:paraId="5D1A893F" w14:textId="34B5E864" w:rsidR="00913910" w:rsidRPr="00517E90" w:rsidRDefault="00913910" w:rsidP="00913910">
                  <w:pPr>
                    <w:keepNext/>
                    <w:rPr>
                      <w:rFonts w:ascii="Aptos" w:hAnsi="Aptos" w:cs="Calibri"/>
                      <w:b/>
                      <w:bCs/>
                      <w:color w:val="002060"/>
                      <w:sz w:val="28"/>
                      <w:szCs w:val="28"/>
                    </w:rPr>
                  </w:pPr>
                  <w:r w:rsidRPr="00D412E8">
                    <w:rPr>
                      <w:rFonts w:ascii="Aptos" w:hAnsi="Aptos" w:cs="Calibri"/>
                      <w:b/>
                      <w:bCs/>
                      <w:color w:val="071D49"/>
                      <w:sz w:val="28"/>
                      <w:szCs w:val="28"/>
                    </w:rPr>
                    <w:t xml:space="preserve">Impact (CI PoV): </w:t>
                  </w:r>
                  <w:commentRangeStart w:id="6"/>
                  <w:r w:rsidRPr="008048A5">
                    <w:rPr>
                      <w:rFonts w:ascii="Aptos" w:hAnsi="Aptos" w:cs="Calibri"/>
                      <w:b/>
                      <w:bCs/>
                      <w:color w:val="E97132"/>
                      <w:sz w:val="28"/>
                      <w:szCs w:val="28"/>
                    </w:rPr>
                    <w:t>MEDIUM</w:t>
                  </w:r>
                  <w:commentRangeEnd w:id="6"/>
                  <w:r w:rsidR="007E325B" w:rsidRPr="00517E90">
                    <w:rPr>
                      <w:rStyle w:val="CommentReference"/>
                      <w:rFonts w:ascii="Aptos" w:hAnsi="Aptos" w:cs="Calibri"/>
                      <w:b/>
                      <w:bCs/>
                      <w:color w:val="002060"/>
                      <w:sz w:val="28"/>
                      <w:szCs w:val="28"/>
                    </w:rPr>
                    <w:commentReference w:id="6"/>
                  </w:r>
                </w:p>
                <w:p w14:paraId="5E1024B4" w14:textId="3D6EB82A" w:rsidR="00913910" w:rsidRPr="009870B5" w:rsidRDefault="00A675CB" w:rsidP="00577AA0">
                  <w:pPr>
                    <w:pStyle w:val="ListParagraph"/>
                    <w:keepNext/>
                    <w:numPr>
                      <w:ilvl w:val="0"/>
                      <w:numId w:val="12"/>
                    </w:numPr>
                    <w:contextualSpacing w:val="0"/>
                    <w:rPr>
                      <w:rFonts w:ascii="Aptos" w:hAnsi="Aptos" w:cs="Calibri"/>
                      <w:i/>
                      <w:iCs/>
                      <w:color w:val="242424"/>
                      <w:lang w:val="en-GB" w:eastAsia="ja-JP"/>
                    </w:rPr>
                  </w:pPr>
                  <w:r>
                    <w:rPr>
                      <w:rFonts w:ascii="Aptos" w:hAnsi="Aptos" w:cs="Calibri"/>
                      <w:color w:val="242424"/>
                      <w:lang w:val="en-GB" w:eastAsia="ja-JP"/>
                    </w:rPr>
                    <w:t xml:space="preserve">BeOne </w:t>
                  </w:r>
                  <w:r w:rsidR="00E7489A">
                    <w:rPr>
                      <w:rFonts w:ascii="Aptos" w:hAnsi="Aptos" w:cs="Calibri"/>
                      <w:color w:val="242424"/>
                      <w:lang w:val="en-GB" w:eastAsia="ja-JP"/>
                    </w:rPr>
                    <w:t>continues to broaden its CLL franchise and challenge the use of Ven-based combinations by positioning Sonrotoclax</w:t>
                  </w:r>
                  <w:r w:rsidR="00F70654">
                    <w:rPr>
                      <w:rFonts w:ascii="Aptos" w:hAnsi="Aptos" w:cs="Calibri"/>
                      <w:color w:val="242424"/>
                      <w:lang w:val="en-GB" w:eastAsia="ja-JP"/>
                    </w:rPr>
                    <w:t xml:space="preserve">, </w:t>
                  </w:r>
                  <w:r w:rsidR="00E7489A">
                    <w:rPr>
                      <w:rFonts w:ascii="Aptos" w:hAnsi="Aptos" w:cs="Calibri"/>
                      <w:color w:val="242424"/>
                      <w:lang w:val="en-GB" w:eastAsia="ja-JP"/>
                    </w:rPr>
                    <w:t xml:space="preserve">a next-generation </w:t>
                  </w:r>
                  <w:r w:rsidR="00E624CF">
                    <w:rPr>
                      <w:rFonts w:ascii="Aptos" w:hAnsi="Aptos" w:cs="Calibri"/>
                      <w:color w:val="242424"/>
                      <w:lang w:val="en-GB" w:eastAsia="ja-JP"/>
                    </w:rPr>
                    <w:t xml:space="preserve">BCL2i and </w:t>
                  </w:r>
                  <w:r w:rsidR="00F70654" w:rsidRPr="00F70654">
                    <w:rPr>
                      <w:rFonts w:ascii="Aptos" w:hAnsi="Aptos" w:cs="Calibri"/>
                      <w:color w:val="242424"/>
                      <w:lang w:val="en-GB" w:eastAsia="ja-JP"/>
                    </w:rPr>
                    <w:t>Brukinsa</w:t>
                  </w:r>
                  <w:r w:rsidR="00F70654">
                    <w:rPr>
                      <w:rFonts w:ascii="Aptos" w:hAnsi="Aptos" w:cs="Calibri"/>
                      <w:color w:val="242424"/>
                      <w:lang w:val="en-GB" w:eastAsia="ja-JP"/>
                    </w:rPr>
                    <w:t xml:space="preserve"> (</w:t>
                  </w:r>
                  <w:proofErr w:type="spellStart"/>
                  <w:r w:rsidR="00F70654">
                    <w:rPr>
                      <w:rFonts w:ascii="Aptos" w:hAnsi="Aptos" w:cs="Calibri"/>
                      <w:color w:val="242424"/>
                      <w:lang w:val="en-GB" w:eastAsia="ja-JP"/>
                    </w:rPr>
                    <w:t>zanubruitnib</w:t>
                  </w:r>
                  <w:proofErr w:type="spellEnd"/>
                  <w:r w:rsidR="00CA6974">
                    <w:rPr>
                      <w:rFonts w:ascii="Aptos" w:hAnsi="Aptos" w:cs="Calibri"/>
                      <w:color w:val="242424"/>
                      <w:lang w:val="en-GB" w:eastAsia="ja-JP"/>
                    </w:rPr>
                    <w:t xml:space="preserve">; BTKi) </w:t>
                  </w:r>
                  <w:r w:rsidR="007151C6" w:rsidRPr="007151C6">
                    <w:rPr>
                      <w:rFonts w:ascii="Aptos" w:hAnsi="Aptos" w:cs="Calibri"/>
                      <w:color w:val="242424"/>
                      <w:lang w:val="en-GB" w:eastAsia="ja-JP"/>
                    </w:rPr>
                    <w:t>fixed-duration therapy (FDT) combination</w:t>
                  </w:r>
                  <w:r w:rsidR="007151C6">
                    <w:rPr>
                      <w:rFonts w:ascii="Aptos" w:hAnsi="Aptos" w:cs="Calibri"/>
                      <w:color w:val="242424"/>
                      <w:lang w:val="en-GB" w:eastAsia="ja-JP"/>
                    </w:rPr>
                    <w:t xml:space="preserve"> as a competitor to </w:t>
                  </w:r>
                  <w:hyperlink r:id="rId14" w:tgtFrame="_blank" w:history="1">
                    <w:r w:rsidR="009870B5" w:rsidRPr="009870B5">
                      <w:rPr>
                        <w:rStyle w:val="Hyperlink"/>
                        <w:rFonts w:ascii="Aptos" w:hAnsi="Aptos" w:cs="Calibri"/>
                        <w:lang w:eastAsia="ja-JP"/>
                      </w:rPr>
                      <w:t>CAPTIVATE</w:t>
                    </w:r>
                  </w:hyperlink>
                  <w:r w:rsidR="009870B5" w:rsidRPr="009870B5">
                    <w:rPr>
                      <w:rFonts w:ascii="Aptos" w:hAnsi="Aptos" w:cs="Calibri"/>
                      <w:color w:val="242424"/>
                      <w:lang w:eastAsia="ja-JP"/>
                    </w:rPr>
                    <w:t> (</w:t>
                  </w:r>
                  <w:proofErr w:type="spellStart"/>
                  <w:r w:rsidR="009835AE">
                    <w:rPr>
                      <w:rFonts w:ascii="Aptos" w:hAnsi="Aptos" w:cs="Calibri"/>
                      <w:color w:val="242424"/>
                      <w:lang w:eastAsia="ja-JP"/>
                    </w:rPr>
                    <w:t>Ven+</w:t>
                  </w:r>
                  <w:r w:rsidR="009870B5" w:rsidRPr="009870B5">
                    <w:rPr>
                      <w:rFonts w:ascii="Aptos" w:hAnsi="Aptos" w:cs="Calibri"/>
                      <w:color w:val="242424"/>
                      <w:lang w:eastAsia="ja-JP"/>
                    </w:rPr>
                    <w:t>Imb</w:t>
                  </w:r>
                  <w:proofErr w:type="spellEnd"/>
                  <w:r w:rsidR="009870B5" w:rsidRPr="009870B5">
                    <w:rPr>
                      <w:rFonts w:ascii="Aptos" w:hAnsi="Aptos" w:cs="Calibri"/>
                      <w:color w:val="242424"/>
                      <w:lang w:eastAsia="ja-JP"/>
                    </w:rPr>
                    <w:t>) and </w:t>
                  </w:r>
                  <w:hyperlink r:id="rId15" w:tgtFrame="_blank" w:history="1">
                    <w:r w:rsidR="009870B5" w:rsidRPr="009870B5">
                      <w:rPr>
                        <w:rStyle w:val="Hyperlink"/>
                        <w:rFonts w:ascii="Aptos" w:hAnsi="Aptos" w:cs="Calibri"/>
                        <w:lang w:eastAsia="ja-JP"/>
                      </w:rPr>
                      <w:t>AMPLIFY</w:t>
                    </w:r>
                  </w:hyperlink>
                  <w:r w:rsidR="009870B5" w:rsidRPr="009870B5">
                    <w:rPr>
                      <w:rFonts w:ascii="Aptos" w:hAnsi="Aptos" w:cs="Calibri"/>
                      <w:color w:val="242424"/>
                      <w:lang w:eastAsia="ja-JP"/>
                    </w:rPr>
                    <w:t> (</w:t>
                  </w:r>
                  <w:r w:rsidR="007C6898">
                    <w:rPr>
                      <w:rFonts w:ascii="Aptos" w:hAnsi="Aptos" w:cs="Calibri"/>
                      <w:color w:val="242424"/>
                      <w:lang w:eastAsia="ja-JP"/>
                    </w:rPr>
                    <w:t xml:space="preserve">Ven+ </w:t>
                  </w:r>
                  <w:r w:rsidR="009870B5" w:rsidRPr="009870B5">
                    <w:rPr>
                      <w:rFonts w:ascii="Aptos" w:hAnsi="Aptos" w:cs="Calibri"/>
                      <w:color w:val="242424"/>
                      <w:lang w:eastAsia="ja-JP"/>
                    </w:rPr>
                    <w:t>Calquence)</w:t>
                  </w:r>
                  <w:r w:rsidR="007B6605">
                    <w:rPr>
                      <w:rFonts w:ascii="Aptos" w:hAnsi="Aptos" w:cs="Calibri"/>
                      <w:color w:val="242424"/>
                      <w:lang w:eastAsia="ja-JP"/>
                    </w:rPr>
                    <w:t>.</w:t>
                  </w:r>
                </w:p>
                <w:p w14:paraId="5497BA68" w14:textId="77777777" w:rsidR="00B177D0" w:rsidRPr="00A201EC" w:rsidRDefault="00B177D0" w:rsidP="00B177D0">
                  <w:pPr>
                    <w:pStyle w:val="ListParagraph"/>
                    <w:keepNext/>
                    <w:rPr>
                      <w:rFonts w:ascii="Aptos" w:hAnsi="Aptos" w:cs="Calibri"/>
                      <w:b/>
                      <w:bCs/>
                      <w:lang w:val="en-GB" w:eastAsia="ja-JP"/>
                    </w:rPr>
                  </w:pPr>
                </w:p>
                <w:p w14:paraId="06D7094D" w14:textId="77777777" w:rsidR="00913910" w:rsidRPr="00517E90" w:rsidRDefault="00913910" w:rsidP="00913910">
                  <w:pPr>
                    <w:keepNext/>
                    <w:rPr>
                      <w:rFonts w:ascii="Aptos" w:hAnsi="Aptos" w:cs="Calibri"/>
                      <w:b/>
                      <w:bCs/>
                      <w:color w:val="0070C0"/>
                      <w:sz w:val="28"/>
                      <w:szCs w:val="28"/>
                      <w:lang w:eastAsia="ko-KR"/>
                      <w14:ligatures w14:val="standardContextual"/>
                    </w:rPr>
                  </w:pPr>
                  <w:r w:rsidRPr="00D412E8">
                    <w:rPr>
                      <w:rFonts w:ascii="Aptos" w:hAnsi="Aptos" w:cs="Calibri"/>
                      <w:b/>
                      <w:bCs/>
                      <w:color w:val="071D49"/>
                      <w:sz w:val="28"/>
                      <w:szCs w:val="28"/>
                    </w:rPr>
                    <w:t xml:space="preserve">Why it matters </w:t>
                  </w:r>
                  <w:r w:rsidRPr="00517E90">
                    <w:rPr>
                      <w:rFonts w:ascii="Aptos" w:hAnsi="Aptos" w:cs="Calibri"/>
                      <w:color w:val="0070C0"/>
                      <w:sz w:val="28"/>
                      <w:szCs w:val="28"/>
                    </w:rPr>
                    <w:t>(</w:t>
                  </w:r>
                  <w:r w:rsidRPr="00517E90">
                    <w:rPr>
                      <w:rFonts w:ascii="Aptos" w:hAnsi="Aptos" w:cs="Calibri"/>
                      <w:i/>
                      <w:iCs/>
                      <w:color w:val="0070C0"/>
                    </w:rPr>
                    <w:t>CI Insights in blue italics)</w:t>
                  </w:r>
                  <w:r w:rsidRPr="00517E90">
                    <w:rPr>
                      <w:rFonts w:ascii="Aptos" w:hAnsi="Aptos" w:cs="Calibri"/>
                      <w:color w:val="0070C0"/>
                      <w:sz w:val="28"/>
                      <w:szCs w:val="28"/>
                    </w:rPr>
                    <w:t>:</w:t>
                  </w:r>
                </w:p>
                <w:p w14:paraId="5D685961" w14:textId="1D4D29C9" w:rsidR="00913910" w:rsidRPr="00577AA0" w:rsidRDefault="009A670A" w:rsidP="00577AA0">
                  <w:pPr>
                    <w:pStyle w:val="ListParagraph"/>
                    <w:keepNext/>
                    <w:numPr>
                      <w:ilvl w:val="0"/>
                      <w:numId w:val="12"/>
                    </w:numPr>
                    <w:contextualSpacing w:val="0"/>
                    <w:rPr>
                      <w:rFonts w:ascii="Aptos" w:hAnsi="Aptos" w:cs="Calibri"/>
                      <w:lang w:val="en-GB" w:eastAsia="ja-JP"/>
                    </w:rPr>
                  </w:pPr>
                  <w:r>
                    <w:rPr>
                      <w:rFonts w:ascii="Aptos" w:hAnsi="Aptos" w:cs="Calibri"/>
                      <w:lang w:val="en-GB" w:eastAsia="ja-JP"/>
                    </w:rPr>
                    <w:t xml:space="preserve">The review </w:t>
                  </w:r>
                  <w:r w:rsidR="00FB303B">
                    <w:rPr>
                      <w:rFonts w:ascii="Aptos" w:hAnsi="Aptos" w:cs="Calibri"/>
                      <w:lang w:val="en-GB" w:eastAsia="ja-JP"/>
                    </w:rPr>
                    <w:t xml:space="preserve">notes </w:t>
                  </w:r>
                  <w:r w:rsidR="005504FF" w:rsidRPr="005504FF">
                    <w:rPr>
                      <w:rFonts w:ascii="Aptos" w:hAnsi="Aptos" w:cs="Calibri"/>
                      <w:lang w:val="en-GB" w:eastAsia="ja-JP"/>
                    </w:rPr>
                    <w:t>shorter PFS with Ven-based FTD regimens in patients with higher-risk mutations (del17p and/or TP53mut), lower MRD</w:t>
                  </w:r>
                  <w:r w:rsidR="00FB303B">
                    <w:rPr>
                      <w:rFonts w:ascii="Aptos" w:hAnsi="Aptos" w:cs="Calibri"/>
                      <w:lang w:val="en-GB" w:eastAsia="ja-JP"/>
                    </w:rPr>
                    <w:t xml:space="preserve"> negativity</w:t>
                  </w:r>
                  <w:r w:rsidR="005504FF" w:rsidRPr="005504FF">
                    <w:rPr>
                      <w:rFonts w:ascii="Aptos" w:hAnsi="Aptos" w:cs="Calibri"/>
                      <w:lang w:val="en-GB" w:eastAsia="ja-JP"/>
                    </w:rPr>
                    <w:t xml:space="preserve"> and PFS </w:t>
                  </w:r>
                  <w:r w:rsidR="00FB303B">
                    <w:rPr>
                      <w:rFonts w:ascii="Aptos" w:hAnsi="Aptos" w:cs="Calibri"/>
                      <w:lang w:val="en-GB" w:eastAsia="ja-JP"/>
                    </w:rPr>
                    <w:t xml:space="preserve">with </w:t>
                  </w:r>
                  <w:r w:rsidR="005504FF" w:rsidRPr="005504FF">
                    <w:rPr>
                      <w:rFonts w:ascii="Aptos" w:hAnsi="Aptos" w:cs="Calibri"/>
                      <w:lang w:val="en-GB" w:eastAsia="ja-JP"/>
                    </w:rPr>
                    <w:t xml:space="preserve">VA, and the </w:t>
                  </w:r>
                  <w:r w:rsidR="00354ED4">
                    <w:rPr>
                      <w:rFonts w:ascii="Aptos" w:hAnsi="Aptos" w:cs="Calibri"/>
                      <w:lang w:val="en-GB" w:eastAsia="ja-JP"/>
                    </w:rPr>
                    <w:t xml:space="preserve">challenges </w:t>
                  </w:r>
                  <w:r w:rsidR="005504FF" w:rsidRPr="005504FF">
                    <w:rPr>
                      <w:rFonts w:ascii="Aptos" w:hAnsi="Aptos" w:cs="Calibri"/>
                      <w:lang w:val="en-GB" w:eastAsia="ja-JP"/>
                    </w:rPr>
                    <w:t xml:space="preserve">of TLS management (especially in the community </w:t>
                  </w:r>
                  <w:r w:rsidR="00FC4F10">
                    <w:rPr>
                      <w:rFonts w:ascii="Aptos" w:hAnsi="Aptos" w:cs="Calibri"/>
                      <w:lang w:val="en-GB" w:eastAsia="ja-JP"/>
                    </w:rPr>
                    <w:t>setting</w:t>
                  </w:r>
                  <w:r w:rsidR="005504FF" w:rsidRPr="005504FF">
                    <w:rPr>
                      <w:rFonts w:ascii="Aptos" w:hAnsi="Aptos" w:cs="Calibri"/>
                      <w:lang w:val="en-GB" w:eastAsia="ja-JP"/>
                    </w:rPr>
                    <w:t>)</w:t>
                  </w:r>
                  <w:r w:rsidR="00251293">
                    <w:rPr>
                      <w:rFonts w:ascii="Aptos" w:hAnsi="Aptos" w:cs="Calibri"/>
                      <w:lang w:val="en-GB" w:eastAsia="ja-JP"/>
                    </w:rPr>
                    <w:t xml:space="preserve"> – collectively positioning </w:t>
                  </w:r>
                  <w:r w:rsidR="008A0A71">
                    <w:rPr>
                      <w:rFonts w:ascii="Aptos" w:hAnsi="Aptos" w:cs="Calibri"/>
                      <w:lang w:val="en-GB" w:eastAsia="ja-JP"/>
                    </w:rPr>
                    <w:t>s</w:t>
                  </w:r>
                  <w:r w:rsidR="005504FF">
                    <w:rPr>
                      <w:rFonts w:ascii="Aptos" w:hAnsi="Aptos" w:cs="Calibri"/>
                      <w:lang w:val="en-GB" w:eastAsia="ja-JP"/>
                    </w:rPr>
                    <w:t xml:space="preserve">onrotoclax </w:t>
                  </w:r>
                  <w:r w:rsidR="00C65204">
                    <w:rPr>
                      <w:rFonts w:ascii="Aptos" w:hAnsi="Aptos" w:cs="Calibri"/>
                      <w:lang w:val="en-GB" w:eastAsia="ja-JP"/>
                    </w:rPr>
                    <w:t xml:space="preserve">to address key </w:t>
                  </w:r>
                  <w:r w:rsidR="008866FE">
                    <w:rPr>
                      <w:rFonts w:ascii="Aptos" w:hAnsi="Aptos" w:cs="Calibri"/>
                      <w:lang w:val="en-GB" w:eastAsia="ja-JP"/>
                    </w:rPr>
                    <w:t xml:space="preserve">unmet needs in the FDT </w:t>
                  </w:r>
                  <w:r w:rsidR="00C65204">
                    <w:rPr>
                      <w:rFonts w:ascii="Aptos" w:hAnsi="Aptos" w:cs="Calibri"/>
                      <w:lang w:val="en-GB" w:eastAsia="ja-JP"/>
                    </w:rPr>
                    <w:t>landscape</w:t>
                  </w:r>
                  <w:r w:rsidR="007B6605">
                    <w:rPr>
                      <w:rFonts w:ascii="Aptos" w:hAnsi="Aptos" w:cs="Calibri"/>
                      <w:lang w:val="en-GB" w:eastAsia="ja-JP"/>
                    </w:rPr>
                    <w:t>.</w:t>
                  </w:r>
                </w:p>
                <w:p w14:paraId="17C6EEAC" w14:textId="71C4194B" w:rsidR="00577AA0" w:rsidRPr="00BE6116" w:rsidRDefault="00853CFD" w:rsidP="00AA5800">
                  <w:pPr>
                    <w:pStyle w:val="ListParagraph"/>
                    <w:keepNext/>
                    <w:numPr>
                      <w:ilvl w:val="1"/>
                      <w:numId w:val="15"/>
                    </w:numPr>
                    <w:rPr>
                      <w:rFonts w:ascii="Aptos" w:hAnsi="Aptos" w:cs="Calibri"/>
                      <w:b/>
                      <w:bCs/>
                      <w:i/>
                      <w:iCs/>
                      <w:color w:val="2E74B5" w:themeColor="accent5" w:themeShade="BF"/>
                      <w:lang w:val="en-GB" w:eastAsia="ja-JP"/>
                    </w:rPr>
                  </w:pPr>
                  <w:r>
                    <w:rPr>
                      <w:rFonts w:ascii="Aptos" w:hAnsi="Aptos" w:cs="Calibri"/>
                      <w:i/>
                      <w:iCs/>
                      <w:color w:val="2E74B5" w:themeColor="accent5" w:themeShade="BF"/>
                      <w:lang w:eastAsia="ja-JP"/>
                    </w:rPr>
                    <w:t xml:space="preserve">This framing </w:t>
                  </w:r>
                  <w:r w:rsidR="0043713B">
                    <w:rPr>
                      <w:rFonts w:ascii="Aptos" w:hAnsi="Aptos" w:cs="Calibri"/>
                      <w:i/>
                      <w:iCs/>
                      <w:color w:val="2E74B5" w:themeColor="accent5" w:themeShade="BF"/>
                      <w:lang w:eastAsia="ja-JP"/>
                    </w:rPr>
                    <w:t xml:space="preserve">aligns with </w:t>
                  </w:r>
                  <w:r>
                    <w:rPr>
                      <w:rFonts w:ascii="Aptos" w:hAnsi="Aptos" w:cs="Calibri"/>
                      <w:i/>
                      <w:iCs/>
                      <w:color w:val="2E74B5" w:themeColor="accent5" w:themeShade="BF"/>
                      <w:lang w:eastAsia="ja-JP"/>
                    </w:rPr>
                    <w:t xml:space="preserve">BeOne’s broader messaging </w:t>
                  </w:r>
                  <w:hyperlink r:id="rId16" w:anchor="page=27" w:history="1">
                    <w:r w:rsidRPr="00C75699">
                      <w:rPr>
                        <w:rStyle w:val="Hyperlink"/>
                        <w:rFonts w:ascii="Aptos" w:hAnsi="Aptos" w:cs="Calibri"/>
                        <w:i/>
                        <w:iCs/>
                        <w:lang w:eastAsia="ja-JP"/>
                      </w:rPr>
                      <w:t>strategy</w:t>
                    </w:r>
                  </w:hyperlink>
                  <w:r>
                    <w:rPr>
                      <w:rFonts w:ascii="Aptos" w:hAnsi="Aptos" w:cs="Calibri"/>
                      <w:i/>
                      <w:iCs/>
                      <w:color w:val="2E74B5" w:themeColor="accent5" w:themeShade="BF"/>
                      <w:lang w:eastAsia="ja-JP"/>
                    </w:rPr>
                    <w:t xml:space="preserve"> </w:t>
                  </w:r>
                  <w:r w:rsidR="000A7939">
                    <w:rPr>
                      <w:rFonts w:ascii="Aptos" w:hAnsi="Aptos" w:cs="Calibri"/>
                      <w:i/>
                      <w:iCs/>
                      <w:color w:val="2E74B5" w:themeColor="accent5" w:themeShade="BF"/>
                      <w:lang w:eastAsia="ja-JP"/>
                    </w:rPr>
                    <w:t>of</w:t>
                  </w:r>
                  <w:r>
                    <w:rPr>
                      <w:rFonts w:ascii="Aptos" w:hAnsi="Aptos" w:cs="Calibri"/>
                      <w:i/>
                      <w:iCs/>
                      <w:color w:val="2E74B5" w:themeColor="accent5" w:themeShade="BF"/>
                      <w:lang w:eastAsia="ja-JP"/>
                    </w:rPr>
                    <w:t xml:space="preserve"> emphasizing</w:t>
                  </w:r>
                  <w:r w:rsidR="00C75699">
                    <w:rPr>
                      <w:rFonts w:ascii="Aptos" w:hAnsi="Aptos" w:cs="Calibri"/>
                      <w:i/>
                      <w:iCs/>
                      <w:color w:val="2E74B5" w:themeColor="accent5" w:themeShade="BF"/>
                      <w:lang w:eastAsia="ja-JP"/>
                    </w:rPr>
                    <w:t xml:space="preserve"> specific </w:t>
                  </w:r>
                  <w:commentRangeStart w:id="7"/>
                  <w:r w:rsidR="00C75699">
                    <w:rPr>
                      <w:rFonts w:ascii="Aptos" w:hAnsi="Aptos" w:cs="Calibri"/>
                      <w:i/>
                      <w:iCs/>
                      <w:color w:val="2E74B5" w:themeColor="accent5" w:themeShade="BF"/>
                      <w:lang w:eastAsia="ja-JP"/>
                    </w:rPr>
                    <w:t xml:space="preserve">clinical and operation </w:t>
                  </w:r>
                  <w:r w:rsidR="00BE48DA">
                    <w:rPr>
                      <w:rFonts w:ascii="Aptos" w:hAnsi="Aptos" w:cs="Calibri"/>
                      <w:i/>
                      <w:iCs/>
                      <w:color w:val="2E74B5" w:themeColor="accent5" w:themeShade="BF"/>
                      <w:lang w:eastAsia="ja-JP"/>
                    </w:rPr>
                    <w:t>considerations</w:t>
                  </w:r>
                  <w:r w:rsidR="00C75699">
                    <w:rPr>
                      <w:rFonts w:ascii="Aptos" w:hAnsi="Aptos" w:cs="Calibri"/>
                      <w:i/>
                      <w:iCs/>
                      <w:color w:val="2E74B5" w:themeColor="accent5" w:themeShade="BF"/>
                      <w:lang w:eastAsia="ja-JP"/>
                    </w:rPr>
                    <w:t xml:space="preserve"> to </w:t>
                  </w:r>
                  <w:commentRangeEnd w:id="7"/>
                  <w:r w:rsidR="00A16D14">
                    <w:rPr>
                      <w:rStyle w:val="CommentReference"/>
                      <w:rFonts w:ascii="Aptos" w:hAnsi="Aptos" w:cs="Calibri"/>
                      <w:i/>
                      <w:iCs/>
                      <w:color w:val="2E74B5" w:themeColor="accent5" w:themeShade="BF"/>
                      <w:sz w:val="24"/>
                      <w:szCs w:val="24"/>
                      <w:lang w:eastAsia="ja-JP"/>
                    </w:rPr>
                    <w:commentReference w:id="7"/>
                  </w:r>
                  <w:r w:rsidR="00C75699">
                    <w:rPr>
                      <w:rFonts w:ascii="Aptos" w:hAnsi="Aptos" w:cs="Calibri"/>
                      <w:i/>
                      <w:iCs/>
                      <w:color w:val="2E74B5" w:themeColor="accent5" w:themeShade="BF"/>
                      <w:lang w:eastAsia="ja-JP"/>
                    </w:rPr>
                    <w:t>differentiate sonrotoclax</w:t>
                  </w:r>
                  <w:r w:rsidR="0043713B">
                    <w:rPr>
                      <w:rFonts w:ascii="Aptos" w:hAnsi="Aptos" w:cs="Calibri"/>
                      <w:i/>
                      <w:iCs/>
                      <w:color w:val="2E74B5" w:themeColor="accent5" w:themeShade="BF"/>
                      <w:lang w:eastAsia="ja-JP"/>
                    </w:rPr>
                    <w:t>,</w:t>
                  </w:r>
                  <w:r w:rsidR="00C75699">
                    <w:rPr>
                      <w:rFonts w:ascii="Aptos" w:hAnsi="Aptos" w:cs="Calibri"/>
                      <w:i/>
                      <w:iCs/>
                      <w:color w:val="2E74B5" w:themeColor="accent5" w:themeShade="BF"/>
                      <w:lang w:eastAsia="ja-JP"/>
                    </w:rPr>
                    <w:t xml:space="preserve"> </w:t>
                  </w:r>
                  <w:r w:rsidR="0043713B">
                    <w:rPr>
                      <w:rFonts w:ascii="Aptos" w:hAnsi="Aptos" w:cs="Calibri"/>
                      <w:i/>
                      <w:iCs/>
                      <w:color w:val="2E74B5" w:themeColor="accent5" w:themeShade="BF"/>
                      <w:lang w:eastAsia="ja-JP"/>
                    </w:rPr>
                    <w:t xml:space="preserve">while implicitly reframing areas of unmet need </w:t>
                  </w:r>
                  <w:commentRangeStart w:id="8"/>
                  <w:r w:rsidR="0043713B">
                    <w:rPr>
                      <w:rFonts w:ascii="Aptos" w:hAnsi="Aptos" w:cs="Calibri"/>
                      <w:i/>
                      <w:iCs/>
                      <w:color w:val="2E74B5" w:themeColor="accent5" w:themeShade="BF"/>
                      <w:lang w:eastAsia="ja-JP"/>
                    </w:rPr>
                    <w:t>within es</w:t>
                  </w:r>
                  <w:r w:rsidR="00C75699">
                    <w:rPr>
                      <w:rFonts w:ascii="Aptos" w:hAnsi="Aptos" w:cs="Calibri"/>
                      <w:i/>
                      <w:iCs/>
                      <w:color w:val="2E74B5" w:themeColor="accent5" w:themeShade="BF"/>
                      <w:lang w:eastAsia="ja-JP"/>
                    </w:rPr>
                    <w:t xml:space="preserve">tablished role of Ven-based </w:t>
                  </w:r>
                  <w:r w:rsidR="000A7939">
                    <w:rPr>
                      <w:rFonts w:ascii="Aptos" w:hAnsi="Aptos" w:cs="Calibri"/>
                      <w:i/>
                      <w:iCs/>
                      <w:color w:val="2E74B5" w:themeColor="accent5" w:themeShade="BF"/>
                      <w:lang w:eastAsia="ja-JP"/>
                    </w:rPr>
                    <w:t>regimens.</w:t>
                  </w:r>
                  <w:commentRangeEnd w:id="8"/>
                  <w:r w:rsidR="00EE325E" w:rsidRPr="00BE6116">
                    <w:rPr>
                      <w:rStyle w:val="CommentReference"/>
                      <w:rFonts w:ascii="Aptos" w:hAnsi="Aptos" w:cs="Calibri"/>
                      <w:b/>
                      <w:bCs/>
                      <w:i/>
                      <w:iCs/>
                      <w:color w:val="2E74B5" w:themeColor="accent5" w:themeShade="BF"/>
                      <w:sz w:val="24"/>
                      <w:szCs w:val="24"/>
                      <w:lang w:val="en-GB" w:eastAsia="ja-JP"/>
                    </w:rPr>
                    <w:commentReference w:id="8"/>
                  </w:r>
                </w:p>
                <w:p w14:paraId="7FB2DBD7" w14:textId="04B6BED8" w:rsidR="00AA5800" w:rsidRDefault="00BB63F3" w:rsidP="00E11989">
                  <w:pPr>
                    <w:pStyle w:val="ListParagraph"/>
                    <w:keepNext/>
                    <w:numPr>
                      <w:ilvl w:val="1"/>
                      <w:numId w:val="15"/>
                    </w:numPr>
                    <w:rPr>
                      <w:rFonts w:ascii="Aptos" w:hAnsi="Aptos" w:cs="Calibri"/>
                      <w:i/>
                      <w:iCs/>
                      <w:color w:val="2E74B5" w:themeColor="accent5" w:themeShade="BF"/>
                      <w:lang w:val="en-GB" w:eastAsia="ja-JP"/>
                    </w:rPr>
                  </w:pPr>
                  <w:r>
                    <w:rPr>
                      <w:rFonts w:ascii="Aptos" w:hAnsi="Aptos" w:cs="Calibri"/>
                      <w:i/>
                      <w:iCs/>
                      <w:color w:val="2E74B5" w:themeColor="accent5" w:themeShade="BF"/>
                      <w:lang w:val="en-GB" w:eastAsia="ja-JP"/>
                    </w:rPr>
                    <w:t xml:space="preserve">Recall, </w:t>
                  </w:r>
                  <w:r w:rsidR="00BE6116" w:rsidRPr="00BE6116">
                    <w:rPr>
                      <w:rFonts w:ascii="Aptos" w:hAnsi="Aptos" w:cs="Calibri"/>
                      <w:i/>
                      <w:iCs/>
                      <w:color w:val="2E74B5" w:themeColor="accent5" w:themeShade="BF"/>
                      <w:lang w:val="en-GB" w:eastAsia="ja-JP"/>
                    </w:rPr>
                    <w:t>BeOne</w:t>
                  </w:r>
                  <w:r>
                    <w:rPr>
                      <w:rFonts w:ascii="Aptos" w:hAnsi="Aptos" w:cs="Calibri"/>
                      <w:i/>
                      <w:iCs/>
                      <w:color w:val="2E74B5" w:themeColor="accent5" w:themeShade="BF"/>
                      <w:lang w:val="en-GB" w:eastAsia="ja-JP"/>
                    </w:rPr>
                    <w:t xml:space="preserve"> recently</w:t>
                  </w:r>
                  <w:r w:rsidR="00BE6116" w:rsidRPr="00BE6116">
                    <w:rPr>
                      <w:rFonts w:ascii="Aptos" w:hAnsi="Aptos" w:cs="Calibri"/>
                      <w:i/>
                      <w:iCs/>
                      <w:color w:val="2E74B5" w:themeColor="accent5" w:themeShade="BF"/>
                      <w:lang w:val="en-GB" w:eastAsia="ja-JP"/>
                    </w:rPr>
                    <w:t xml:space="preserve"> </w:t>
                  </w:r>
                  <w:hyperlink r:id="rId17" w:history="1">
                    <w:r w:rsidR="00BE6116" w:rsidRPr="00EF1B69">
                      <w:rPr>
                        <w:rStyle w:val="Hyperlink"/>
                        <w:rFonts w:ascii="Aptos" w:hAnsi="Aptos" w:cs="Calibri"/>
                        <w:i/>
                        <w:iCs/>
                        <w:color w:val="2E74B5" w:themeColor="accent5" w:themeShade="BF"/>
                        <w:lang w:val="en-GB" w:eastAsia="ja-JP"/>
                      </w:rPr>
                      <w:t>initiated</w:t>
                    </w:r>
                  </w:hyperlink>
                  <w:r w:rsidR="00BE6116" w:rsidRPr="00BE6116">
                    <w:rPr>
                      <w:rFonts w:ascii="Aptos" w:hAnsi="Aptos" w:cs="Calibri"/>
                      <w:i/>
                      <w:iCs/>
                      <w:color w:val="2E74B5" w:themeColor="accent5" w:themeShade="BF"/>
                      <w:lang w:val="en-GB" w:eastAsia="ja-JP"/>
                    </w:rPr>
                    <w:t xml:space="preserve"> a head-to-head trial against AMPLIFY</w:t>
                  </w:r>
                  <w:r w:rsidR="009A670A">
                    <w:rPr>
                      <w:rFonts w:ascii="Aptos" w:hAnsi="Aptos" w:cs="Calibri"/>
                      <w:i/>
                      <w:iCs/>
                      <w:color w:val="2E74B5" w:themeColor="accent5" w:themeShade="BF"/>
                      <w:lang w:val="en-GB" w:eastAsia="ja-JP"/>
                    </w:rPr>
                    <w:t xml:space="preserve"> (VA, 1L CLL)</w:t>
                  </w:r>
                  <w:r w:rsidR="00BE6116" w:rsidRPr="00BE6116">
                    <w:rPr>
                      <w:rFonts w:ascii="Aptos" w:hAnsi="Aptos" w:cs="Calibri"/>
                      <w:i/>
                      <w:iCs/>
                      <w:color w:val="2E74B5" w:themeColor="accent5" w:themeShade="BF"/>
                      <w:lang w:val="en-GB" w:eastAsia="ja-JP"/>
                    </w:rPr>
                    <w:t xml:space="preserve"> </w:t>
                  </w:r>
                  <w:r w:rsidR="0043713B">
                    <w:rPr>
                      <w:rFonts w:ascii="Aptos" w:hAnsi="Aptos" w:cs="Calibri"/>
                      <w:i/>
                      <w:iCs/>
                      <w:color w:val="2E74B5" w:themeColor="accent5" w:themeShade="BF"/>
                      <w:lang w:val="en-GB" w:eastAsia="ja-JP"/>
                    </w:rPr>
                    <w:t xml:space="preserve">reflecting the company’s confidence in </w:t>
                  </w:r>
                  <w:r w:rsidR="00BE6116" w:rsidRPr="00BE6116">
                    <w:rPr>
                      <w:rFonts w:ascii="Aptos" w:hAnsi="Aptos" w:cs="Calibri"/>
                      <w:i/>
                      <w:iCs/>
                      <w:color w:val="2E74B5" w:themeColor="accent5" w:themeShade="BF"/>
                      <w:lang w:val="en-GB" w:eastAsia="ja-JP"/>
                    </w:rPr>
                    <w:t xml:space="preserve">Brukinsa + sonrotoclax </w:t>
                  </w:r>
                  <w:r w:rsidR="0043713B">
                    <w:rPr>
                      <w:rFonts w:ascii="Aptos" w:hAnsi="Aptos" w:cs="Calibri"/>
                      <w:i/>
                      <w:iCs/>
                      <w:color w:val="2E74B5" w:themeColor="accent5" w:themeShade="BF"/>
                      <w:lang w:val="en-GB" w:eastAsia="ja-JP"/>
                    </w:rPr>
                    <w:t xml:space="preserve">and its intent to </w:t>
                  </w:r>
                  <w:r w:rsidR="003F5AA4">
                    <w:rPr>
                      <w:rFonts w:ascii="Aptos" w:hAnsi="Aptos" w:cs="Calibri"/>
                      <w:i/>
                      <w:iCs/>
                      <w:color w:val="2E74B5" w:themeColor="accent5" w:themeShade="BF"/>
                      <w:lang w:val="en-GB" w:eastAsia="ja-JP"/>
                    </w:rPr>
                    <w:t>directly</w:t>
                  </w:r>
                  <w:r w:rsidR="0043713B">
                    <w:rPr>
                      <w:rFonts w:ascii="Aptos" w:hAnsi="Aptos" w:cs="Calibri"/>
                      <w:i/>
                      <w:iCs/>
                      <w:color w:val="2E74B5" w:themeColor="accent5" w:themeShade="BF"/>
                      <w:lang w:val="en-GB" w:eastAsia="ja-JP"/>
                    </w:rPr>
                    <w:t xml:space="preserve"> benchmark the combination against an established FDT </w:t>
                  </w:r>
                  <w:r w:rsidR="00BE6116" w:rsidRPr="00BE6116">
                    <w:rPr>
                      <w:rFonts w:ascii="Aptos" w:hAnsi="Aptos" w:cs="Calibri"/>
                      <w:i/>
                      <w:iCs/>
                      <w:color w:val="2E74B5" w:themeColor="accent5" w:themeShade="BF"/>
                      <w:lang w:val="en-GB" w:eastAsia="ja-JP"/>
                    </w:rPr>
                    <w:t>regimen in 1L CLL, underscoring the company’s strong confidence in the combination</w:t>
                  </w:r>
                  <w:r w:rsidR="007B6605">
                    <w:rPr>
                      <w:rFonts w:ascii="Aptos" w:hAnsi="Aptos" w:cs="Calibri"/>
                      <w:i/>
                      <w:iCs/>
                      <w:color w:val="2E74B5" w:themeColor="accent5" w:themeShade="BF"/>
                      <w:lang w:val="en-GB" w:eastAsia="ja-JP"/>
                    </w:rPr>
                    <w:t>.</w:t>
                  </w:r>
                </w:p>
                <w:p w14:paraId="0C85A612" w14:textId="0EEA71CA" w:rsidR="00252575" w:rsidRDefault="00252575" w:rsidP="00E11989">
                  <w:pPr>
                    <w:pStyle w:val="ListParagraph"/>
                    <w:keepNext/>
                    <w:numPr>
                      <w:ilvl w:val="0"/>
                      <w:numId w:val="16"/>
                    </w:numPr>
                    <w:rPr>
                      <w:rFonts w:ascii="Aptos" w:hAnsi="Aptos" w:cs="Calibri"/>
                      <w:color w:val="000000" w:themeColor="text1"/>
                      <w:lang w:val="en-GB" w:eastAsia="ja-JP"/>
                    </w:rPr>
                  </w:pPr>
                  <w:r>
                    <w:rPr>
                      <w:rFonts w:ascii="Aptos" w:hAnsi="Aptos" w:cs="Calibri"/>
                      <w:color w:val="000000" w:themeColor="text1"/>
                      <w:lang w:val="en-GB" w:eastAsia="ja-JP"/>
                    </w:rPr>
                    <w:t>The article</w:t>
                  </w:r>
                  <w:r w:rsidR="0043713B">
                    <w:rPr>
                      <w:rFonts w:ascii="Aptos" w:hAnsi="Aptos" w:cs="Calibri"/>
                      <w:color w:val="000000" w:themeColor="text1"/>
                      <w:lang w:val="en-GB" w:eastAsia="ja-JP"/>
                    </w:rPr>
                    <w:t xml:space="preserve"> further</w:t>
                  </w:r>
                  <w:r>
                    <w:rPr>
                      <w:rFonts w:ascii="Aptos" w:hAnsi="Aptos" w:cs="Calibri"/>
                      <w:color w:val="000000" w:themeColor="text1"/>
                      <w:lang w:val="en-GB" w:eastAsia="ja-JP"/>
                    </w:rPr>
                    <w:t xml:space="preserve"> </w:t>
                  </w:r>
                  <w:r w:rsidR="00022D48">
                    <w:rPr>
                      <w:rFonts w:ascii="Aptos" w:hAnsi="Aptos" w:cs="Calibri"/>
                      <w:color w:val="000000" w:themeColor="text1"/>
                      <w:lang w:val="en-GB" w:eastAsia="ja-JP"/>
                    </w:rPr>
                    <w:t xml:space="preserve">emphasized that </w:t>
                  </w:r>
                  <w:r w:rsidR="0043713B">
                    <w:rPr>
                      <w:rFonts w:ascii="Aptos" w:hAnsi="Aptos" w:cs="Calibri"/>
                      <w:color w:val="000000" w:themeColor="text1"/>
                      <w:lang w:val="en-GB" w:eastAsia="ja-JP"/>
                    </w:rPr>
                    <w:t xml:space="preserve">outcomes with </w:t>
                  </w:r>
                  <w:r w:rsidR="00022D48">
                    <w:rPr>
                      <w:rFonts w:ascii="Aptos" w:hAnsi="Aptos" w:cs="Calibri"/>
                      <w:color w:val="000000" w:themeColor="text1"/>
                      <w:lang w:val="en-GB" w:eastAsia="ja-JP"/>
                    </w:rPr>
                    <w:t>Ven-based regimens</w:t>
                  </w:r>
                  <w:r w:rsidR="00D41B47">
                    <w:rPr>
                      <w:rFonts w:ascii="Aptos" w:hAnsi="Aptos" w:cs="Calibri"/>
                      <w:color w:val="000000" w:themeColor="text1"/>
                      <w:lang w:val="en-GB" w:eastAsia="ja-JP"/>
                    </w:rPr>
                    <w:t xml:space="preserve"> </w:t>
                  </w:r>
                  <w:r w:rsidR="00DF02DB">
                    <w:rPr>
                      <w:rFonts w:ascii="Aptos" w:hAnsi="Aptos" w:cs="Calibri"/>
                      <w:color w:val="000000" w:themeColor="text1"/>
                      <w:lang w:val="en-GB" w:eastAsia="ja-JP"/>
                    </w:rPr>
                    <w:t xml:space="preserve">vary by risk profile, stating that </w:t>
                  </w:r>
                  <w:r w:rsidR="00022D48" w:rsidRPr="00022D48">
                    <w:rPr>
                      <w:rFonts w:ascii="Aptos" w:hAnsi="Aptos" w:cs="Calibri"/>
                      <w:color w:val="000000" w:themeColor="text1"/>
                      <w:lang w:val="en-GB" w:eastAsia="ja-JP"/>
                    </w:rPr>
                    <w:t>“</w:t>
                  </w:r>
                  <w:r w:rsidR="00022D48" w:rsidRPr="00744804">
                    <w:rPr>
                      <w:rFonts w:ascii="Aptos" w:hAnsi="Aptos" w:cs="Calibri"/>
                      <w:i/>
                      <w:iCs/>
                      <w:color w:val="000000" w:themeColor="text1"/>
                      <w:lang w:val="en-GB" w:eastAsia="ja-JP"/>
                    </w:rPr>
                    <w:t>PFS outcomes</w:t>
                  </w:r>
                  <w:r w:rsidR="00D41B47" w:rsidRPr="00744804">
                    <w:rPr>
                      <w:rFonts w:ascii="Aptos" w:hAnsi="Aptos" w:cs="Calibri"/>
                      <w:i/>
                      <w:iCs/>
                      <w:color w:val="000000" w:themeColor="text1"/>
                      <w:lang w:val="en-GB" w:eastAsia="ja-JP"/>
                    </w:rPr>
                    <w:t xml:space="preserve"> </w:t>
                  </w:r>
                  <w:r w:rsidR="00022D48" w:rsidRPr="00744804">
                    <w:rPr>
                      <w:rFonts w:ascii="Aptos" w:hAnsi="Aptos" w:cs="Calibri"/>
                      <w:i/>
                      <w:iCs/>
                      <w:color w:val="000000" w:themeColor="text1"/>
                      <w:lang w:val="en-GB" w:eastAsia="ja-JP"/>
                    </w:rPr>
                    <w:t>remained poorer in patients with high-risk features such as unmutated IGHV or del17p and/or TP53 mutations than in patients who lacked these features</w:t>
                  </w:r>
                  <w:r w:rsidR="00022D48" w:rsidRPr="00022D48">
                    <w:rPr>
                      <w:rFonts w:ascii="Aptos" w:hAnsi="Aptos" w:cs="Calibri"/>
                      <w:color w:val="000000" w:themeColor="text1"/>
                      <w:lang w:val="en-GB" w:eastAsia="ja-JP"/>
                    </w:rPr>
                    <w:t>.”</w:t>
                  </w:r>
                </w:p>
                <w:p w14:paraId="58A8C1AA" w14:textId="2B79518F" w:rsidR="00913910" w:rsidRDefault="0043713B" w:rsidP="00D41B47">
                  <w:pPr>
                    <w:pStyle w:val="ListParagraph"/>
                    <w:keepNext/>
                    <w:numPr>
                      <w:ilvl w:val="1"/>
                      <w:numId w:val="15"/>
                    </w:numPr>
                    <w:rPr>
                      <w:rFonts w:ascii="Aptos" w:hAnsi="Aptos" w:cs="Calibri"/>
                      <w:i/>
                      <w:iCs/>
                      <w:color w:val="0070C0"/>
                      <w:lang w:val="en-GB" w:eastAsia="ja-JP"/>
                    </w:rPr>
                  </w:pPr>
                  <w:r>
                    <w:rPr>
                      <w:rFonts w:ascii="Aptos" w:hAnsi="Aptos" w:cs="Calibri"/>
                      <w:i/>
                      <w:iCs/>
                      <w:color w:val="0070C0"/>
                      <w:lang w:val="en-GB" w:eastAsia="ja-JP"/>
                    </w:rPr>
                    <w:t xml:space="preserve">Current, </w:t>
                  </w:r>
                  <w:r w:rsidR="00EB3165" w:rsidRPr="00D41B47">
                    <w:rPr>
                      <w:rFonts w:ascii="Aptos" w:hAnsi="Aptos" w:cs="Calibri"/>
                      <w:i/>
                      <w:iCs/>
                      <w:color w:val="0070C0"/>
                      <w:lang w:val="en-GB" w:eastAsia="ja-JP"/>
                    </w:rPr>
                    <w:t xml:space="preserve">NCCN </w:t>
                  </w:r>
                  <w:hyperlink r:id="rId18" w:history="1">
                    <w:r w:rsidR="00EB3165" w:rsidRPr="00700CE0">
                      <w:rPr>
                        <w:rStyle w:val="Hyperlink"/>
                        <w:rFonts w:ascii="Aptos" w:hAnsi="Aptos" w:cs="Calibri"/>
                        <w:i/>
                        <w:iCs/>
                        <w:lang w:val="en-GB" w:eastAsia="ja-JP"/>
                      </w:rPr>
                      <w:t>guidelines</w:t>
                    </w:r>
                  </w:hyperlink>
                  <w:r w:rsidR="00EB3165" w:rsidRPr="00D41B47">
                    <w:rPr>
                      <w:rFonts w:ascii="Aptos" w:hAnsi="Aptos" w:cs="Calibri"/>
                      <w:i/>
                      <w:iCs/>
                      <w:color w:val="0070C0"/>
                      <w:lang w:val="en-GB" w:eastAsia="ja-JP"/>
                    </w:rPr>
                    <w:t xml:space="preserve"> currently recommend three  BTKi + BCL2i </w:t>
                  </w:r>
                  <w:r w:rsidR="00AF672E">
                    <w:rPr>
                      <w:rFonts w:ascii="Aptos" w:hAnsi="Aptos" w:cs="Calibri"/>
                      <w:i/>
                      <w:iCs/>
                      <w:color w:val="0070C0"/>
                      <w:lang w:val="en-GB" w:eastAsia="ja-JP"/>
                    </w:rPr>
                    <w:t>FDT options</w:t>
                  </w:r>
                  <w:r w:rsidR="00EB3165" w:rsidRPr="00D41B47">
                    <w:rPr>
                      <w:rFonts w:ascii="Aptos" w:hAnsi="Aptos" w:cs="Calibri"/>
                      <w:i/>
                      <w:iCs/>
                      <w:color w:val="0070C0"/>
                      <w:lang w:val="en-GB" w:eastAsia="ja-JP"/>
                    </w:rPr>
                    <w:t>:</w:t>
                  </w:r>
                  <w:r w:rsidR="004D2B5E" w:rsidRPr="00D41B47">
                    <w:rPr>
                      <w:rFonts w:ascii="Aptos" w:hAnsi="Aptos" w:cs="Calibri"/>
                      <w:i/>
                      <w:iCs/>
                      <w:color w:val="0070C0"/>
                      <w:lang w:val="en-GB" w:eastAsia="ja-JP"/>
                    </w:rPr>
                    <w:t xml:space="preserve"> Ven + </w:t>
                  </w:r>
                  <w:proofErr w:type="spellStart"/>
                  <w:r w:rsidR="004D2B5E" w:rsidRPr="00D41B47">
                    <w:rPr>
                      <w:rFonts w:ascii="Aptos" w:hAnsi="Aptos" w:cs="Calibri"/>
                      <w:i/>
                      <w:iCs/>
                      <w:color w:val="0070C0"/>
                      <w:lang w:val="en-GB" w:eastAsia="ja-JP"/>
                    </w:rPr>
                    <w:t>Imb</w:t>
                  </w:r>
                  <w:proofErr w:type="spellEnd"/>
                  <w:r w:rsidR="00EB3165" w:rsidRPr="00D41B47">
                    <w:rPr>
                      <w:rFonts w:ascii="Aptos" w:hAnsi="Aptos" w:cs="Calibri"/>
                      <w:i/>
                      <w:iCs/>
                      <w:color w:val="0070C0"/>
                      <w:lang w:val="en-GB" w:eastAsia="ja-JP"/>
                    </w:rPr>
                    <w:t xml:space="preserve">, </w:t>
                  </w:r>
                  <w:r w:rsidR="004D2B5E" w:rsidRPr="00D41B47">
                    <w:rPr>
                      <w:rFonts w:ascii="Aptos" w:hAnsi="Aptos" w:cs="Calibri"/>
                      <w:i/>
                      <w:iCs/>
                      <w:color w:val="0070C0"/>
                      <w:lang w:val="en-GB" w:eastAsia="ja-JP"/>
                    </w:rPr>
                    <w:t xml:space="preserve">VA </w:t>
                  </w:r>
                  <w:r w:rsidR="00EB3165" w:rsidRPr="00D41B47">
                    <w:rPr>
                      <w:rFonts w:ascii="Aptos" w:hAnsi="Aptos" w:cs="Calibri"/>
                      <w:i/>
                      <w:iCs/>
                      <w:color w:val="0070C0"/>
                      <w:lang w:val="en-GB" w:eastAsia="ja-JP"/>
                    </w:rPr>
                    <w:t xml:space="preserve">± obinutuzumab, and </w:t>
                  </w:r>
                  <w:r w:rsidR="004D2B5E" w:rsidRPr="00D41B47">
                    <w:rPr>
                      <w:rFonts w:ascii="Aptos" w:hAnsi="Aptos" w:cs="Calibri"/>
                      <w:i/>
                      <w:iCs/>
                      <w:color w:val="0070C0"/>
                      <w:lang w:val="en-GB" w:eastAsia="ja-JP"/>
                    </w:rPr>
                    <w:t>Ven+</w:t>
                  </w:r>
                  <w:r w:rsidR="00CA00A4">
                    <w:rPr>
                      <w:rFonts w:ascii="Aptos" w:hAnsi="Aptos" w:cs="Calibri"/>
                      <w:i/>
                      <w:iCs/>
                      <w:color w:val="0070C0"/>
                      <w:lang w:val="en-GB" w:eastAsia="ja-JP"/>
                    </w:rPr>
                    <w:t xml:space="preserve"> </w:t>
                  </w:r>
                  <w:r w:rsidR="00EB3165" w:rsidRPr="00D41B47">
                    <w:rPr>
                      <w:rFonts w:ascii="Aptos" w:hAnsi="Aptos" w:cs="Calibri"/>
                      <w:i/>
                      <w:iCs/>
                      <w:color w:val="0070C0"/>
                      <w:lang w:val="en-GB" w:eastAsia="ja-JP"/>
                    </w:rPr>
                    <w:t xml:space="preserve">zanubrutinib, each with varying recommendation levels but none yet FDA-approved. Notably, </w:t>
                  </w:r>
                  <w:r w:rsidR="004D2B5E" w:rsidRPr="00D41B47">
                    <w:rPr>
                      <w:rFonts w:ascii="Aptos" w:hAnsi="Aptos" w:cs="Calibri"/>
                      <w:i/>
                      <w:iCs/>
                      <w:color w:val="0070C0"/>
                      <w:lang w:val="en-GB" w:eastAsia="ja-JP"/>
                    </w:rPr>
                    <w:t>Ven</w:t>
                  </w:r>
                  <w:r w:rsidR="00EC0AA8">
                    <w:rPr>
                      <w:rFonts w:ascii="Aptos" w:hAnsi="Aptos" w:cs="Calibri"/>
                      <w:i/>
                      <w:iCs/>
                      <w:color w:val="0070C0"/>
                      <w:lang w:val="en-GB" w:eastAsia="ja-JP"/>
                    </w:rPr>
                    <w:t xml:space="preserve"> </w:t>
                  </w:r>
                  <w:r w:rsidR="004D2B5E" w:rsidRPr="00D41B47">
                    <w:rPr>
                      <w:rFonts w:ascii="Aptos" w:hAnsi="Aptos" w:cs="Calibri"/>
                      <w:i/>
                      <w:iCs/>
                      <w:color w:val="0070C0"/>
                      <w:lang w:val="en-GB" w:eastAsia="ja-JP"/>
                    </w:rPr>
                    <w:t>+</w:t>
                  </w:r>
                  <w:r w:rsidR="00EC0AA8">
                    <w:rPr>
                      <w:rFonts w:ascii="Aptos" w:hAnsi="Aptos" w:cs="Calibri"/>
                      <w:i/>
                      <w:iCs/>
                      <w:color w:val="0070C0"/>
                      <w:lang w:val="en-GB" w:eastAsia="ja-JP"/>
                    </w:rPr>
                    <w:t xml:space="preserve"> </w:t>
                  </w:r>
                  <w:proofErr w:type="spellStart"/>
                  <w:r w:rsidR="004D2B5E" w:rsidRPr="00D41B47">
                    <w:rPr>
                      <w:rFonts w:ascii="Aptos" w:hAnsi="Aptos" w:cs="Calibri"/>
                      <w:i/>
                      <w:iCs/>
                      <w:color w:val="0070C0"/>
                      <w:lang w:val="en-GB" w:eastAsia="ja-JP"/>
                    </w:rPr>
                    <w:t>Imb</w:t>
                  </w:r>
                  <w:proofErr w:type="spellEnd"/>
                  <w:r w:rsidR="004D2B5E" w:rsidRPr="00D41B47">
                    <w:rPr>
                      <w:rFonts w:ascii="Aptos" w:hAnsi="Aptos" w:cs="Calibri"/>
                      <w:i/>
                      <w:iCs/>
                      <w:color w:val="0070C0"/>
                      <w:lang w:val="en-GB" w:eastAsia="ja-JP"/>
                    </w:rPr>
                    <w:t xml:space="preserve"> </w:t>
                  </w:r>
                  <w:r w:rsidR="00EB3165" w:rsidRPr="00D41B47">
                    <w:rPr>
                      <w:rFonts w:ascii="Aptos" w:hAnsi="Aptos" w:cs="Calibri"/>
                      <w:i/>
                      <w:iCs/>
                      <w:color w:val="0070C0"/>
                      <w:lang w:val="en-GB" w:eastAsia="ja-JP"/>
                    </w:rPr>
                    <w:t>is the only regimen specifically</w:t>
                  </w:r>
                  <w:r w:rsidR="00E11989">
                    <w:rPr>
                      <w:rFonts w:ascii="Aptos" w:hAnsi="Aptos" w:cs="Calibri"/>
                      <w:i/>
                      <w:iCs/>
                      <w:color w:val="0070C0"/>
                      <w:lang w:val="en-GB" w:eastAsia="ja-JP"/>
                    </w:rPr>
                    <w:t xml:space="preserve"> </w:t>
                  </w:r>
                  <w:r w:rsidR="00EB3165" w:rsidRPr="00D41B47">
                    <w:rPr>
                      <w:rFonts w:ascii="Aptos" w:hAnsi="Aptos" w:cs="Calibri"/>
                      <w:i/>
                      <w:iCs/>
                      <w:color w:val="0070C0"/>
                      <w:lang w:val="en-GB" w:eastAsia="ja-JP"/>
                    </w:rPr>
                    <w:t>recommended as FDT for high-risk patients</w:t>
                  </w:r>
                  <w:r w:rsidR="0002575D">
                    <w:rPr>
                      <w:rFonts w:ascii="Aptos" w:hAnsi="Aptos" w:cs="Calibri"/>
                      <w:i/>
                      <w:iCs/>
                      <w:color w:val="0070C0"/>
                      <w:lang w:val="en-GB" w:eastAsia="ja-JP"/>
                    </w:rPr>
                    <w:t>, underscoring the continued strength of Ven-based FDTs in guideline-driven practice.</w:t>
                  </w:r>
                </w:p>
                <w:p w14:paraId="333BC4B9" w14:textId="6B8E8DBC" w:rsidR="00E100D0" w:rsidRDefault="00393D2B" w:rsidP="00D41B47">
                  <w:pPr>
                    <w:pStyle w:val="ListParagraph"/>
                    <w:keepNext/>
                    <w:numPr>
                      <w:ilvl w:val="1"/>
                      <w:numId w:val="15"/>
                    </w:numPr>
                    <w:rPr>
                      <w:rFonts w:ascii="Aptos" w:hAnsi="Aptos" w:cs="Calibri"/>
                      <w:i/>
                      <w:iCs/>
                      <w:color w:val="0070C0"/>
                      <w:lang w:val="en-GB" w:eastAsia="ja-JP"/>
                    </w:rPr>
                  </w:pPr>
                  <w:r>
                    <w:rPr>
                      <w:rFonts w:ascii="Aptos" w:hAnsi="Aptos" w:cs="Calibri"/>
                      <w:i/>
                      <w:iCs/>
                      <w:color w:val="0070C0"/>
                      <w:lang w:val="en-GB" w:eastAsia="ja-JP"/>
                    </w:rPr>
                    <w:t>T</w:t>
                  </w:r>
                  <w:r w:rsidRPr="00393D2B">
                    <w:rPr>
                      <w:rFonts w:ascii="Aptos" w:hAnsi="Aptos" w:cs="Calibri"/>
                      <w:i/>
                      <w:iCs/>
                      <w:color w:val="0070C0"/>
                      <w:lang w:val="en-GB" w:eastAsia="ja-JP"/>
                    </w:rPr>
                    <w:t>his publication further augments BeOne’s strategy to prioritize zanubrutinib- and sonrotoclax-based regimens in IGHV-unmutated and TP53-mutated patients and complements the company’s “</w:t>
                  </w:r>
                  <w:hyperlink r:id="rId19" w:history="1">
                    <w:r w:rsidRPr="00393D2B">
                      <w:rPr>
                        <w:rStyle w:val="Hyperlink"/>
                        <w:rFonts w:ascii="Aptos" w:hAnsi="Aptos" w:cs="Calibri"/>
                        <w:i/>
                        <w:iCs/>
                        <w:lang w:val="en-GB" w:eastAsia="ja-JP"/>
                      </w:rPr>
                      <w:t>Test Before Treat</w:t>
                    </w:r>
                  </w:hyperlink>
                  <w:r w:rsidRPr="00393D2B">
                    <w:rPr>
                      <w:rFonts w:ascii="Aptos" w:hAnsi="Aptos" w:cs="Calibri"/>
                      <w:i/>
                      <w:iCs/>
                      <w:color w:val="0070C0"/>
                      <w:lang w:val="en-GB" w:eastAsia="ja-JP"/>
                    </w:rPr>
                    <w:t>” (TB4T) CLL Society campaign promoting biomarker-driven treatment selection.</w:t>
                  </w:r>
                </w:p>
                <w:p w14:paraId="72AA3F0C" w14:textId="62DC4195" w:rsidR="00D41B47" w:rsidRDefault="00985B77" w:rsidP="00D41B47">
                  <w:pPr>
                    <w:pStyle w:val="ListParagraph"/>
                    <w:keepNext/>
                    <w:numPr>
                      <w:ilvl w:val="1"/>
                      <w:numId w:val="15"/>
                    </w:numPr>
                    <w:rPr>
                      <w:rFonts w:ascii="Aptos" w:hAnsi="Aptos" w:cs="Calibri"/>
                      <w:i/>
                      <w:iCs/>
                      <w:color w:val="0070C0"/>
                      <w:lang w:val="en-GB" w:eastAsia="ja-JP"/>
                    </w:rPr>
                  </w:pPr>
                  <w:r>
                    <w:rPr>
                      <w:rFonts w:ascii="Aptos" w:hAnsi="Aptos" w:cs="Calibri"/>
                      <w:i/>
                      <w:iCs/>
                      <w:color w:val="0070C0"/>
                      <w:lang w:val="en-GB" w:eastAsia="ja-JP"/>
                    </w:rPr>
                    <w:t xml:space="preserve">Within this context, </w:t>
                  </w:r>
                  <w:r w:rsidR="00EE67EB">
                    <w:rPr>
                      <w:rFonts w:ascii="Aptos" w:hAnsi="Aptos" w:cs="Calibri"/>
                      <w:i/>
                      <w:iCs/>
                      <w:color w:val="0070C0"/>
                      <w:lang w:val="en-GB" w:eastAsia="ja-JP"/>
                    </w:rPr>
                    <w:t xml:space="preserve">BeOne’s decision to pursue a head-to-head Phase 3 </w:t>
                  </w:r>
                  <w:hyperlink r:id="rId20" w:history="1">
                    <w:r w:rsidR="00EE67EB" w:rsidRPr="00EE67EB">
                      <w:rPr>
                        <w:rStyle w:val="Hyperlink"/>
                        <w:rFonts w:ascii="Aptos" w:hAnsi="Aptos" w:cs="Calibri"/>
                        <w:i/>
                        <w:iCs/>
                        <w:lang w:val="en-GB" w:eastAsia="ja-JP"/>
                      </w:rPr>
                      <w:t>trial</w:t>
                    </w:r>
                  </w:hyperlink>
                  <w:r w:rsidR="00EE67EB">
                    <w:rPr>
                      <w:rFonts w:ascii="Aptos" w:hAnsi="Aptos" w:cs="Calibri"/>
                      <w:i/>
                      <w:iCs/>
                      <w:color w:val="0070C0"/>
                      <w:lang w:val="en-GB" w:eastAsia="ja-JP"/>
                    </w:rPr>
                    <w:t xml:space="preserve"> against AMPLIFY may reflect a longer-term effort to differentiate its FDT approach in genetically higher-risk population. </w:t>
                  </w:r>
                </w:p>
                <w:p w14:paraId="4802C06A" w14:textId="6C6E9CA8" w:rsidR="00997416" w:rsidRPr="00997416" w:rsidRDefault="005344E6" w:rsidP="00997416">
                  <w:pPr>
                    <w:pStyle w:val="ListParagraph"/>
                    <w:keepNext/>
                    <w:numPr>
                      <w:ilvl w:val="0"/>
                      <w:numId w:val="15"/>
                    </w:numPr>
                    <w:rPr>
                      <w:rFonts w:ascii="Aptos" w:hAnsi="Aptos" w:cs="Calibri"/>
                      <w:i/>
                      <w:iCs/>
                      <w:color w:val="0070C0"/>
                      <w:lang w:val="en-GB" w:eastAsia="ja-JP"/>
                    </w:rPr>
                  </w:pPr>
                  <w:r w:rsidRPr="00997416">
                    <w:rPr>
                      <w:rFonts w:ascii="Aptos" w:hAnsi="Aptos" w:cs="Calibri"/>
                      <w:lang w:val="en-GB" w:eastAsia="ja-JP"/>
                    </w:rPr>
                    <w:t>The article includes a table</w:t>
                  </w:r>
                  <w:r w:rsidR="009E668E" w:rsidRPr="00997416">
                    <w:rPr>
                      <w:rFonts w:ascii="Aptos" w:hAnsi="Aptos" w:cs="Calibri"/>
                      <w:lang w:val="en-GB" w:eastAsia="ja-JP"/>
                    </w:rPr>
                    <w:t xml:space="preserve"> (see below)</w:t>
                  </w:r>
                  <w:r w:rsidRPr="00997416">
                    <w:rPr>
                      <w:rFonts w:ascii="Aptos" w:hAnsi="Aptos" w:cs="Calibri"/>
                      <w:lang w:val="en-GB" w:eastAsia="ja-JP"/>
                    </w:rPr>
                    <w:t xml:space="preserve"> comparing </w:t>
                  </w:r>
                  <w:r w:rsidR="00CD780E" w:rsidRPr="00997416">
                    <w:rPr>
                      <w:rFonts w:ascii="Aptos" w:hAnsi="Aptos" w:cs="Calibri"/>
                      <w:lang w:val="en-GB" w:eastAsia="ja-JP"/>
                    </w:rPr>
                    <w:t xml:space="preserve">uMRD rates across </w:t>
                  </w:r>
                  <w:r w:rsidRPr="00997416">
                    <w:rPr>
                      <w:rFonts w:ascii="Aptos" w:hAnsi="Aptos" w:cs="Calibri"/>
                      <w:lang w:val="en-GB" w:eastAsia="ja-JP"/>
                    </w:rPr>
                    <w:t>multiple Phase 3 Ven-based trials in CLL using non-uniform MRD assessment methods,</w:t>
                  </w:r>
                  <w:r w:rsidR="00CD780E" w:rsidRPr="00997416">
                    <w:rPr>
                      <w:rFonts w:ascii="Aptos" w:hAnsi="Aptos" w:cs="Calibri"/>
                      <w:lang w:val="en-GB" w:eastAsia="ja-JP"/>
                    </w:rPr>
                    <w:t xml:space="preserve"> an area of increasing focus as uMRD gains prominence as an efficacy benchmar</w:t>
                  </w:r>
                  <w:r w:rsidR="00A3437B" w:rsidRPr="00997416">
                    <w:rPr>
                      <w:rFonts w:ascii="Aptos" w:hAnsi="Aptos" w:cs="Calibri"/>
                      <w:lang w:val="en-GB" w:eastAsia="ja-JP"/>
                    </w:rPr>
                    <w:t xml:space="preserve">k. </w:t>
                  </w:r>
                </w:p>
                <w:p w14:paraId="7D52171C" w14:textId="546E0230" w:rsidR="00CA5F51" w:rsidRPr="00C97247" w:rsidRDefault="00CA5F51" w:rsidP="005344E6">
                  <w:pPr>
                    <w:pStyle w:val="ListParagraph"/>
                    <w:keepNext/>
                    <w:numPr>
                      <w:ilvl w:val="1"/>
                      <w:numId w:val="15"/>
                    </w:numPr>
                    <w:rPr>
                      <w:rFonts w:ascii="Aptos" w:hAnsi="Aptos" w:cs="Calibri"/>
                      <w:lang w:val="en-GB" w:eastAsia="ja-JP"/>
                    </w:rPr>
                  </w:pPr>
                  <w:r w:rsidRPr="00CA5F51">
                    <w:rPr>
                      <w:rFonts w:ascii="Aptos" w:hAnsi="Aptos" w:cs="Calibri"/>
                      <w:lang w:eastAsia="ja-JP"/>
                    </w:rPr>
                    <w:t xml:space="preserve">Specifically, </w:t>
                  </w:r>
                  <w:hyperlink r:id="rId21" w:history="1">
                    <w:r w:rsidRPr="00CA5F51">
                      <w:rPr>
                        <w:rStyle w:val="Hyperlink"/>
                        <w:rFonts w:ascii="Aptos" w:hAnsi="Aptos" w:cs="Calibri"/>
                        <w:lang w:eastAsia="ja-JP"/>
                      </w:rPr>
                      <w:t>CLL14</w:t>
                    </w:r>
                  </w:hyperlink>
                  <w:r w:rsidRPr="00CA5F51">
                    <w:rPr>
                      <w:rFonts w:ascii="Aptos" w:hAnsi="Aptos" w:cs="Calibri"/>
                      <w:lang w:eastAsia="ja-JP"/>
                    </w:rPr>
                    <w:t xml:space="preserve">, </w:t>
                  </w:r>
                  <w:hyperlink r:id="rId22" w:history="1">
                    <w:r w:rsidRPr="00CA5F51">
                      <w:rPr>
                        <w:rStyle w:val="Hyperlink"/>
                        <w:rFonts w:ascii="Aptos" w:hAnsi="Aptos" w:cs="Calibri"/>
                        <w:lang w:eastAsia="ja-JP"/>
                      </w:rPr>
                      <w:t>GLOW</w:t>
                    </w:r>
                  </w:hyperlink>
                  <w:r w:rsidRPr="00CA5F51">
                    <w:rPr>
                      <w:rFonts w:ascii="Aptos" w:hAnsi="Aptos" w:cs="Calibri"/>
                      <w:lang w:eastAsia="ja-JP"/>
                    </w:rPr>
                    <w:t xml:space="preserve">, and </w:t>
                  </w:r>
                  <w:hyperlink r:id="rId23" w:history="1">
                    <w:r w:rsidRPr="00CA5F51">
                      <w:rPr>
                        <w:rStyle w:val="Hyperlink"/>
                        <w:rFonts w:ascii="Aptos" w:hAnsi="Aptos" w:cs="Calibri"/>
                        <w:lang w:eastAsia="ja-JP"/>
                      </w:rPr>
                      <w:t>AMPLIFY</w:t>
                    </w:r>
                  </w:hyperlink>
                  <w:r w:rsidRPr="00CA5F51">
                    <w:rPr>
                      <w:rFonts w:ascii="Aptos" w:hAnsi="Aptos" w:cs="Calibri"/>
                      <w:lang w:eastAsia="ja-JP"/>
                    </w:rPr>
                    <w:t xml:space="preserve"> report uMRD assessed at EoT+3 in the ITT population (“Best uMRD in PB”), while </w:t>
                  </w:r>
                  <w:hyperlink r:id="rId24" w:history="1">
                    <w:r w:rsidRPr="00944493">
                      <w:rPr>
                        <w:rStyle w:val="Hyperlink"/>
                        <w:rFonts w:ascii="Aptos" w:hAnsi="Aptos" w:cs="Calibri"/>
                        <w:lang w:eastAsia="ja-JP"/>
                      </w:rPr>
                      <w:t>CAPTIVATE FD</w:t>
                    </w:r>
                  </w:hyperlink>
                  <w:r w:rsidRPr="00CA5F51">
                    <w:rPr>
                      <w:rFonts w:ascii="Aptos" w:hAnsi="Aptos" w:cs="Calibri"/>
                      <w:lang w:eastAsia="ja-JP"/>
                    </w:rPr>
                    <w:t xml:space="preserve"> and </w:t>
                  </w:r>
                  <w:hyperlink r:id="rId25" w:history="1">
                    <w:r w:rsidRPr="00CA5F51">
                      <w:rPr>
                        <w:rStyle w:val="Hyperlink"/>
                        <w:rFonts w:ascii="Aptos" w:hAnsi="Aptos" w:cs="Calibri"/>
                        <w:lang w:eastAsia="ja-JP"/>
                      </w:rPr>
                      <w:t>MURANO</w:t>
                    </w:r>
                  </w:hyperlink>
                  <w:r w:rsidRPr="00CA5F51">
                    <w:rPr>
                      <w:rFonts w:ascii="Aptos" w:hAnsi="Aptos" w:cs="Calibri"/>
                      <w:lang w:eastAsia="ja-JP"/>
                    </w:rPr>
                    <w:t xml:space="preserve"> report Best ITT uMRD rates, reflecting differences in endpoint definition and timing.</w:t>
                  </w:r>
                </w:p>
                <w:p w14:paraId="09C732BB" w14:textId="6E5E0A68" w:rsidR="00C97247" w:rsidRPr="00CA5F51" w:rsidRDefault="00C97247" w:rsidP="005344E6">
                  <w:pPr>
                    <w:pStyle w:val="ListParagraph"/>
                    <w:keepNext/>
                    <w:numPr>
                      <w:ilvl w:val="1"/>
                      <w:numId w:val="15"/>
                    </w:numPr>
                    <w:rPr>
                      <w:rFonts w:ascii="Aptos" w:hAnsi="Aptos" w:cs="Calibri"/>
                      <w:lang w:val="en-GB" w:eastAsia="ja-JP"/>
                    </w:rPr>
                  </w:pPr>
                  <w:r w:rsidRPr="00C97247">
                    <w:rPr>
                      <w:rFonts w:ascii="Aptos" w:hAnsi="Aptos" w:cs="Calibri"/>
                      <w:lang w:val="en-GB" w:eastAsia="ja-JP"/>
                    </w:rPr>
                    <w:t xml:space="preserve">The article also highlights “substantially lower” uMRD rates for VA versus VI based on an indirect comparison (Munir et al., EHA 2025 </w:t>
                  </w:r>
                  <w:hyperlink r:id="rId26" w:history="1">
                    <w:r w:rsidRPr="000B0433">
                      <w:rPr>
                        <w:rStyle w:val="Hyperlink"/>
                        <w:rFonts w:ascii="Aptos" w:hAnsi="Aptos" w:cs="Calibri"/>
                        <w:lang w:val="en-GB" w:eastAsia="ja-JP"/>
                      </w:rPr>
                      <w:t>abstract</w:t>
                    </w:r>
                  </w:hyperlink>
                  <w:r w:rsidRPr="00C97247">
                    <w:rPr>
                      <w:rFonts w:ascii="Aptos" w:hAnsi="Aptos" w:cs="Calibri"/>
                      <w:lang w:val="en-GB" w:eastAsia="ja-JP"/>
                    </w:rPr>
                    <w:t>)</w:t>
                  </w:r>
                </w:p>
                <w:p w14:paraId="404CFE22" w14:textId="27662031" w:rsidR="00D842D8" w:rsidRPr="00517022" w:rsidRDefault="00A3437B" w:rsidP="008507B1">
                  <w:pPr>
                    <w:pStyle w:val="ListParagraph"/>
                    <w:numPr>
                      <w:ilvl w:val="1"/>
                      <w:numId w:val="15"/>
                    </w:numPr>
                    <w:rPr>
                      <w:rFonts w:ascii="Aptos" w:hAnsi="Aptos" w:cs="Calibri"/>
                      <w:i/>
                      <w:iCs/>
                      <w:color w:val="0070C0"/>
                    </w:rPr>
                  </w:pPr>
                  <w:r>
                    <w:rPr>
                      <w:rFonts w:ascii="Aptos" w:hAnsi="Aptos" w:cs="Calibri"/>
                      <w:i/>
                      <w:iCs/>
                      <w:color w:val="0070C0"/>
                      <w:lang w:val="en-GB" w:eastAsia="ja-JP"/>
                    </w:rPr>
                    <w:t>Without explicit acknowledgement of these methodological difference</w:t>
                  </w:r>
                  <w:r w:rsidR="00F17AB3">
                    <w:rPr>
                      <w:rFonts w:ascii="Aptos" w:hAnsi="Aptos" w:cs="Calibri"/>
                      <w:i/>
                      <w:iCs/>
                      <w:color w:val="0070C0"/>
                      <w:lang w:val="en-GB" w:eastAsia="ja-JP"/>
                    </w:rPr>
                    <w:t>s</w:t>
                  </w:r>
                  <w:r>
                    <w:rPr>
                      <w:rFonts w:ascii="Aptos" w:hAnsi="Aptos" w:cs="Calibri"/>
                      <w:i/>
                      <w:iCs/>
                      <w:color w:val="0070C0"/>
                      <w:lang w:val="en-GB" w:eastAsia="ja-JP"/>
                    </w:rPr>
                    <w:t xml:space="preserve">, </w:t>
                  </w:r>
                  <w:r w:rsidR="003A6BD6" w:rsidRPr="00517022">
                    <w:rPr>
                      <w:rFonts w:ascii="Aptos" w:hAnsi="Aptos" w:cs="Calibri"/>
                      <w:i/>
                      <w:iCs/>
                      <w:color w:val="0070C0"/>
                      <w:lang w:val="en-GB" w:eastAsia="ja-JP"/>
                    </w:rPr>
                    <w:t xml:space="preserve">HCPs may </w:t>
                  </w:r>
                  <w:r w:rsidR="005E00E3">
                    <w:rPr>
                      <w:rFonts w:ascii="Aptos" w:hAnsi="Aptos" w:cs="Calibri"/>
                      <w:i/>
                      <w:iCs/>
                      <w:color w:val="0070C0"/>
                      <w:lang w:val="en-GB" w:eastAsia="ja-JP"/>
                    </w:rPr>
                    <w:t>conclude that</w:t>
                  </w:r>
                  <w:r w:rsidR="003A6BD6" w:rsidRPr="00517022">
                    <w:rPr>
                      <w:rFonts w:ascii="Aptos" w:hAnsi="Aptos" w:cs="Calibri"/>
                      <w:i/>
                      <w:iCs/>
                      <w:color w:val="0070C0"/>
                      <w:lang w:val="en-GB" w:eastAsia="ja-JP"/>
                    </w:rPr>
                    <w:t xml:space="preserve"> </w:t>
                  </w:r>
                  <w:r w:rsidR="0013256E" w:rsidRPr="00517022">
                    <w:rPr>
                      <w:rFonts w:ascii="Aptos" w:hAnsi="Aptos" w:cs="Calibri"/>
                      <w:i/>
                      <w:iCs/>
                      <w:color w:val="0070C0"/>
                      <w:lang w:val="en-GB" w:eastAsia="ja-JP"/>
                    </w:rPr>
                    <w:t>Ven</w:t>
                  </w:r>
                  <w:r w:rsidR="003A6BD6" w:rsidRPr="00517022">
                    <w:rPr>
                      <w:rFonts w:ascii="Aptos" w:hAnsi="Aptos" w:cs="Calibri"/>
                      <w:i/>
                      <w:iCs/>
                      <w:color w:val="0070C0"/>
                      <w:lang w:val="en-GB" w:eastAsia="ja-JP"/>
                    </w:rPr>
                    <w:t>-based FTD regimens achieve lower uMRD rates than sonrotoclax regimens, without recognizing these methodological differences</w:t>
                  </w:r>
                  <w:r w:rsidR="007B6605">
                    <w:rPr>
                      <w:rFonts w:ascii="Aptos" w:hAnsi="Aptos" w:cs="Calibri"/>
                      <w:i/>
                      <w:iCs/>
                      <w:color w:val="0070C0"/>
                      <w:lang w:val="en-GB" w:eastAsia="ja-JP"/>
                    </w:rPr>
                    <w:t>.</w:t>
                  </w:r>
                </w:p>
                <w:p w14:paraId="22DD575E" w14:textId="77777777" w:rsidR="00C30D83" w:rsidRPr="008507B1" w:rsidRDefault="00C30D83" w:rsidP="00C30D83">
                  <w:pPr>
                    <w:pStyle w:val="ListParagraph"/>
                    <w:ind w:left="1440"/>
                    <w:rPr>
                      <w:rFonts w:ascii="Aptos" w:hAnsi="Aptos" w:cs="Calibri"/>
                      <w:color w:val="242424"/>
                    </w:rPr>
                  </w:pPr>
                </w:p>
                <w:p w14:paraId="34B7DCF7" w14:textId="77777777" w:rsidR="003B1AD7" w:rsidRPr="00D412E8" w:rsidRDefault="003B1AD7" w:rsidP="003B1AD7">
                  <w:pPr>
                    <w:keepNext/>
                    <w:rPr>
                      <w:rFonts w:ascii="Aptos" w:hAnsi="Aptos" w:cs="Calibri"/>
                      <w:b/>
                      <w:bCs/>
                      <w:color w:val="071D49"/>
                      <w:sz w:val="28"/>
                      <w:szCs w:val="28"/>
                      <w:lang w:eastAsia="ko-KR"/>
                      <w14:ligatures w14:val="standardContextual"/>
                    </w:rPr>
                  </w:pPr>
                  <w:r w:rsidRPr="00D412E8">
                    <w:rPr>
                      <w:rFonts w:ascii="Aptos" w:hAnsi="Aptos" w:cs="Calibri"/>
                      <w:b/>
                      <w:bCs/>
                      <w:color w:val="071D49"/>
                      <w:sz w:val="28"/>
                      <w:szCs w:val="28"/>
                    </w:rPr>
                    <w:t>Tell me more:</w:t>
                  </w:r>
                </w:p>
                <w:p w14:paraId="092C78FF" w14:textId="51AFFC44" w:rsidR="00940F00" w:rsidRPr="00B91963" w:rsidRDefault="00D32074" w:rsidP="00B91963">
                  <w:pPr>
                    <w:pStyle w:val="ListParagraph"/>
                    <w:numPr>
                      <w:ilvl w:val="0"/>
                      <w:numId w:val="12"/>
                    </w:numPr>
                    <w:rPr>
                      <w:rFonts w:ascii="Aptos" w:hAnsi="Aptos" w:cs="Calibri"/>
                      <w:color w:val="242424"/>
                      <w:lang w:val="en-GB" w:eastAsia="ja-JP"/>
                    </w:rPr>
                  </w:pPr>
                  <w:r w:rsidRPr="00D32074">
                    <w:rPr>
                      <w:rFonts w:ascii="Aptos" w:hAnsi="Aptos" w:cs="Calibri"/>
                      <w:color w:val="242424"/>
                      <w:lang w:eastAsia="ja-JP"/>
                    </w:rPr>
                    <w:t>The article describes TLS as a “</w:t>
                  </w:r>
                  <w:r w:rsidRPr="00D32074">
                    <w:rPr>
                      <w:rFonts w:ascii="Aptos" w:hAnsi="Aptos" w:cs="Calibri"/>
                      <w:i/>
                      <w:iCs/>
                      <w:color w:val="242424"/>
                      <w:lang w:eastAsia="ja-JP"/>
                    </w:rPr>
                    <w:t>complexity</w:t>
                  </w:r>
                  <w:r w:rsidRPr="00D32074">
                    <w:rPr>
                      <w:rFonts w:ascii="Aptos" w:hAnsi="Aptos" w:cs="Calibri"/>
                      <w:color w:val="242424"/>
                      <w:lang w:eastAsia="ja-JP"/>
                    </w:rPr>
                    <w:t xml:space="preserve">” of </w:t>
                  </w:r>
                  <w:r>
                    <w:rPr>
                      <w:rFonts w:ascii="Aptos" w:hAnsi="Aptos" w:cs="Calibri"/>
                      <w:color w:val="242424"/>
                      <w:lang w:eastAsia="ja-JP"/>
                    </w:rPr>
                    <w:t>Ven</w:t>
                  </w:r>
                  <w:r w:rsidRPr="00D32074">
                    <w:rPr>
                      <w:rFonts w:ascii="Aptos" w:hAnsi="Aptos" w:cs="Calibri"/>
                      <w:color w:val="242424"/>
                      <w:lang w:eastAsia="ja-JP"/>
                    </w:rPr>
                    <w:t>-based regimens in community settings, citing close monitoring requirements and logistical challenges related to obinutuzumab administration (e.g., infusion chair time and infection/immune risks). In contrast, the sonrotoclax + zanubrutinib Phase 1/1b study is summarized as having reported no TLS events</w:t>
                  </w:r>
                  <w:r w:rsidR="00C47F13" w:rsidRPr="00B91963">
                    <w:rPr>
                      <w:rFonts w:ascii="Aptos" w:hAnsi="Aptos" w:cs="Calibri"/>
                      <w:color w:val="242424"/>
                      <w:lang w:val="en-GB" w:eastAsia="ja-JP"/>
                    </w:rPr>
                    <w:t xml:space="preserve"> </w:t>
                  </w:r>
                </w:p>
                <w:p w14:paraId="468763E5" w14:textId="44E91A27" w:rsidR="003B1AD7" w:rsidRPr="008B7255" w:rsidRDefault="0081347C" w:rsidP="00B91963">
                  <w:pPr>
                    <w:keepNext/>
                    <w:numPr>
                      <w:ilvl w:val="1"/>
                      <w:numId w:val="12"/>
                    </w:numPr>
                    <w:rPr>
                      <w:rFonts w:ascii="Aptos" w:hAnsi="Aptos" w:cs="Calibri"/>
                      <w:i/>
                      <w:iCs/>
                      <w:color w:val="0070C0"/>
                      <w:lang w:val="en-GB" w:eastAsia="ja-JP"/>
                    </w:rPr>
                  </w:pPr>
                  <w:r>
                    <w:rPr>
                      <w:rFonts w:ascii="Aptos" w:hAnsi="Aptos" w:cs="Calibri"/>
                      <w:i/>
                      <w:iCs/>
                      <w:color w:val="0070C0"/>
                      <w:lang w:val="en-GB" w:eastAsia="ja-JP"/>
                    </w:rPr>
                    <w:t xml:space="preserve">This framing is consistent with </w:t>
                  </w:r>
                  <w:r w:rsidR="007A28DA" w:rsidRPr="008B7255">
                    <w:rPr>
                      <w:rFonts w:ascii="Aptos" w:hAnsi="Aptos" w:cs="Calibri"/>
                      <w:i/>
                      <w:iCs/>
                      <w:color w:val="0070C0"/>
                      <w:lang w:val="en-GB" w:eastAsia="ja-JP"/>
                    </w:rPr>
                    <w:t xml:space="preserve">BeOne </w:t>
                  </w:r>
                  <w:r>
                    <w:rPr>
                      <w:rFonts w:ascii="Aptos" w:hAnsi="Aptos" w:cs="Calibri"/>
                      <w:i/>
                      <w:iCs/>
                      <w:color w:val="0070C0"/>
                      <w:lang w:val="en-GB" w:eastAsia="ja-JP"/>
                    </w:rPr>
                    <w:t>continued</w:t>
                  </w:r>
                  <w:r w:rsidR="007A28DA" w:rsidRPr="008B7255">
                    <w:rPr>
                      <w:rFonts w:ascii="Aptos" w:hAnsi="Aptos" w:cs="Calibri"/>
                      <w:i/>
                      <w:iCs/>
                      <w:color w:val="0070C0"/>
                      <w:lang w:val="en-GB" w:eastAsia="ja-JP"/>
                    </w:rPr>
                    <w:t xml:space="preserve"> </w:t>
                  </w:r>
                  <w:r w:rsidR="008B7255" w:rsidRPr="008B7255">
                    <w:rPr>
                      <w:rFonts w:ascii="Aptos" w:hAnsi="Aptos" w:cs="Calibri"/>
                      <w:i/>
                      <w:iCs/>
                      <w:color w:val="0070C0"/>
                      <w:lang w:val="en-GB" w:eastAsia="ja-JP"/>
                    </w:rPr>
                    <w:t xml:space="preserve">to </w:t>
                  </w:r>
                  <w:r w:rsidR="00C0793E" w:rsidRPr="008B7255">
                    <w:rPr>
                      <w:rFonts w:ascii="Aptos" w:hAnsi="Aptos" w:cs="Calibri"/>
                      <w:i/>
                      <w:iCs/>
                      <w:color w:val="0070C0"/>
                      <w:lang w:val="en-GB" w:eastAsia="ja-JP"/>
                    </w:rPr>
                    <w:t>emphasi</w:t>
                  </w:r>
                  <w:r>
                    <w:rPr>
                      <w:rFonts w:ascii="Aptos" w:hAnsi="Aptos" w:cs="Calibri"/>
                      <w:i/>
                      <w:iCs/>
                      <w:color w:val="0070C0"/>
                      <w:lang w:val="en-GB" w:eastAsia="ja-JP"/>
                    </w:rPr>
                    <w:t>s</w:t>
                  </w:r>
                  <w:r w:rsidR="00C0793E" w:rsidRPr="008B7255">
                    <w:rPr>
                      <w:rFonts w:ascii="Aptos" w:hAnsi="Aptos" w:cs="Calibri"/>
                      <w:i/>
                      <w:iCs/>
                      <w:color w:val="0070C0"/>
                      <w:lang w:val="en-GB" w:eastAsia="ja-JP"/>
                    </w:rPr>
                    <w:t xml:space="preserve"> TLS management burden with Ven FTD regimens and the </w:t>
                  </w:r>
                  <w:r w:rsidR="00F3260C" w:rsidRPr="008B7255">
                    <w:rPr>
                      <w:rFonts w:ascii="Aptos" w:hAnsi="Aptos" w:cs="Calibri"/>
                      <w:i/>
                      <w:iCs/>
                      <w:color w:val="0070C0"/>
                      <w:lang w:val="en-GB" w:eastAsia="ja-JP"/>
                    </w:rPr>
                    <w:t>logistical challenges of obinutuzumab administration</w:t>
                  </w:r>
                  <w:r w:rsidR="007B6605">
                    <w:rPr>
                      <w:rFonts w:ascii="Aptos" w:hAnsi="Aptos" w:cs="Calibri"/>
                      <w:i/>
                      <w:iCs/>
                      <w:color w:val="0070C0"/>
                      <w:lang w:val="en-GB" w:eastAsia="ja-JP"/>
                    </w:rPr>
                    <w:t>.</w:t>
                  </w:r>
                </w:p>
                <w:p w14:paraId="6AFADD09" w14:textId="16A2EDC5" w:rsidR="00F3260C" w:rsidRPr="008B7255" w:rsidRDefault="00F3260C" w:rsidP="00B91963">
                  <w:pPr>
                    <w:keepNext/>
                    <w:numPr>
                      <w:ilvl w:val="1"/>
                      <w:numId w:val="12"/>
                    </w:numPr>
                    <w:rPr>
                      <w:rFonts w:ascii="Aptos" w:hAnsi="Aptos" w:cs="Calibri"/>
                      <w:color w:val="242424"/>
                      <w:lang w:val="en-GB" w:eastAsia="ja-JP"/>
                    </w:rPr>
                  </w:pPr>
                  <w:r w:rsidRPr="008B7255">
                    <w:rPr>
                      <w:rFonts w:ascii="Aptos" w:hAnsi="Aptos" w:cs="Calibri"/>
                      <w:i/>
                      <w:iCs/>
                      <w:color w:val="0070C0"/>
                      <w:lang w:val="en-GB" w:eastAsia="ja-JP"/>
                    </w:rPr>
                    <w:t xml:space="preserve">Recall, </w:t>
                  </w:r>
                  <w:r w:rsidR="006B1142" w:rsidRPr="008B7255">
                    <w:rPr>
                      <w:rFonts w:ascii="Aptos" w:hAnsi="Aptos" w:cs="Calibri"/>
                      <w:i/>
                      <w:iCs/>
                      <w:color w:val="0070C0"/>
                      <w:lang w:val="en-GB" w:eastAsia="ja-JP"/>
                    </w:rPr>
                    <w:t xml:space="preserve">the Phase 1/1b trial </w:t>
                  </w:r>
                  <w:hyperlink r:id="rId27" w:history="1">
                    <w:r w:rsidR="006B1142" w:rsidRPr="008B7255">
                      <w:rPr>
                        <w:rStyle w:val="Hyperlink"/>
                        <w:rFonts w:ascii="Aptos" w:hAnsi="Aptos" w:cs="Calibri"/>
                        <w:i/>
                        <w:iCs/>
                        <w:color w:val="0070C0"/>
                        <w:lang w:val="en-GB" w:eastAsia="ja-JP"/>
                      </w:rPr>
                      <w:t>data</w:t>
                    </w:r>
                  </w:hyperlink>
                  <w:r w:rsidR="006B1142" w:rsidRPr="008B7255">
                    <w:rPr>
                      <w:rFonts w:ascii="Aptos" w:hAnsi="Aptos" w:cs="Calibri"/>
                      <w:i/>
                      <w:iCs/>
                      <w:color w:val="0070C0"/>
                      <w:lang w:val="en-GB" w:eastAsia="ja-JP"/>
                    </w:rPr>
                    <w:t xml:space="preserve"> shows no clinical or laboratory TLS in 137 TN CLL/SLL patients</w:t>
                  </w:r>
                  <w:r w:rsidR="006A3A4F">
                    <w:rPr>
                      <w:rFonts w:ascii="Aptos" w:hAnsi="Aptos" w:cs="Calibri"/>
                      <w:i/>
                      <w:iCs/>
                      <w:color w:val="0070C0"/>
                      <w:lang w:val="en-GB" w:eastAsia="ja-JP"/>
                    </w:rPr>
                    <w:t xml:space="preserve">, along with deep and </w:t>
                  </w:r>
                  <w:r w:rsidR="006B1142" w:rsidRPr="008B7255">
                    <w:rPr>
                      <w:rFonts w:ascii="Aptos" w:hAnsi="Aptos" w:cs="Calibri"/>
                      <w:i/>
                      <w:iCs/>
                      <w:color w:val="0070C0"/>
                      <w:lang w:val="en-GB" w:eastAsia="ja-JP"/>
                    </w:rPr>
                    <w:t>early responses, including a</w:t>
                  </w:r>
                  <w:r w:rsidR="006A3A4F">
                    <w:rPr>
                      <w:rFonts w:ascii="Aptos" w:hAnsi="Aptos" w:cs="Calibri"/>
                      <w:i/>
                      <w:iCs/>
                      <w:color w:val="0070C0"/>
                      <w:lang w:val="en-GB" w:eastAsia="ja-JP"/>
                    </w:rPr>
                    <w:t xml:space="preserve"> </w:t>
                  </w:r>
                  <w:r w:rsidR="006B1142" w:rsidRPr="008B7255">
                    <w:rPr>
                      <w:rFonts w:ascii="Aptos" w:hAnsi="Aptos" w:cs="Calibri"/>
                      <w:i/>
                      <w:iCs/>
                      <w:color w:val="0070C0"/>
                      <w:lang w:val="en-GB" w:eastAsia="ja-JP"/>
                    </w:rPr>
                    <w:t>100% ORR at a median follow-up of 27.2 months</w:t>
                  </w:r>
                  <w:r w:rsidR="007B6605">
                    <w:rPr>
                      <w:rFonts w:ascii="Aptos" w:hAnsi="Aptos" w:cs="Calibri"/>
                      <w:i/>
                      <w:iCs/>
                      <w:color w:val="0070C0"/>
                      <w:lang w:val="en-GB" w:eastAsia="ja-JP"/>
                    </w:rPr>
                    <w:t>.</w:t>
                  </w:r>
                </w:p>
                <w:p w14:paraId="460168EB" w14:textId="30E6C2EB" w:rsidR="00517022" w:rsidRPr="00BD3896" w:rsidRDefault="001476CA" w:rsidP="00BD3896">
                  <w:pPr>
                    <w:keepNext/>
                    <w:numPr>
                      <w:ilvl w:val="0"/>
                      <w:numId w:val="12"/>
                    </w:numPr>
                    <w:rPr>
                      <w:rFonts w:ascii="Aptos" w:hAnsi="Aptos" w:cs="Calibri"/>
                      <w:color w:val="242424"/>
                      <w:lang w:val="en-GB" w:eastAsia="ja-JP"/>
                    </w:rPr>
                  </w:pPr>
                  <w:r>
                    <w:rPr>
                      <w:rFonts w:ascii="Aptos" w:hAnsi="Aptos" w:cs="Calibri"/>
                      <w:color w:val="242424"/>
                      <w:lang w:val="en-GB" w:eastAsia="ja-JP"/>
                    </w:rPr>
                    <w:t>The article</w:t>
                  </w:r>
                  <w:r w:rsidR="00783B63">
                    <w:rPr>
                      <w:rFonts w:ascii="Aptos" w:hAnsi="Aptos" w:cs="Calibri"/>
                      <w:color w:val="242424"/>
                      <w:lang w:val="en-GB" w:eastAsia="ja-JP"/>
                    </w:rPr>
                    <w:t xml:space="preserve"> questions the efficacy and generalizability of VA, citing AMPLIFY’s exclusion of TPF53-mutaed and unfit patients and describing the regimens as having “</w:t>
                  </w:r>
                  <w:r w:rsidR="00783B63">
                    <w:rPr>
                      <w:rFonts w:ascii="Aptos" w:hAnsi="Aptos" w:cs="Calibri"/>
                      <w:i/>
                      <w:iCs/>
                      <w:color w:val="242424"/>
                      <w:lang w:val="en-GB" w:eastAsia="ja-JP"/>
                    </w:rPr>
                    <w:t xml:space="preserve">suboptimal efficacy” </w:t>
                  </w:r>
                  <w:r w:rsidR="00783B63">
                    <w:rPr>
                      <w:rFonts w:ascii="Aptos" w:hAnsi="Aptos" w:cs="Calibri"/>
                      <w:color w:val="242424"/>
                      <w:lang w:val="en-GB" w:eastAsia="ja-JP"/>
                    </w:rPr>
                    <w:t xml:space="preserve">with low uMRD rates and less </w:t>
                  </w:r>
                  <w:proofErr w:type="spellStart"/>
                  <w:r w:rsidR="00783B63">
                    <w:rPr>
                      <w:rFonts w:ascii="Aptos" w:hAnsi="Aptos" w:cs="Calibri"/>
                      <w:color w:val="242424"/>
                      <w:lang w:val="en-GB" w:eastAsia="ja-JP"/>
                    </w:rPr>
                    <w:t>favorable</w:t>
                  </w:r>
                  <w:proofErr w:type="spellEnd"/>
                  <w:r w:rsidR="00783B63">
                    <w:rPr>
                      <w:rFonts w:ascii="Aptos" w:hAnsi="Aptos" w:cs="Calibri"/>
                      <w:color w:val="242424"/>
                      <w:lang w:val="en-GB" w:eastAsia="ja-JP"/>
                    </w:rPr>
                    <w:t xml:space="preserve"> 3-year PFS</w:t>
                  </w:r>
                </w:p>
                <w:p w14:paraId="24DEA491" w14:textId="73CD964D" w:rsidR="00C30D83" w:rsidRDefault="00C30D83" w:rsidP="0079107D">
                  <w:pPr>
                    <w:keepNext/>
                    <w:numPr>
                      <w:ilvl w:val="0"/>
                      <w:numId w:val="12"/>
                    </w:numPr>
                    <w:rPr>
                      <w:rFonts w:ascii="Aptos" w:hAnsi="Aptos" w:cs="Calibri"/>
                      <w:color w:val="242424"/>
                      <w:lang w:val="en-GB" w:eastAsia="ja-JP"/>
                    </w:rPr>
                  </w:pPr>
                  <w:r>
                    <w:rPr>
                      <w:rFonts w:ascii="Aptos" w:hAnsi="Aptos" w:cs="Calibri"/>
                      <w:color w:val="242424"/>
                      <w:lang w:val="en-GB" w:eastAsia="ja-JP"/>
                    </w:rPr>
                    <w:t xml:space="preserve">The table comparing </w:t>
                  </w:r>
                  <w:r w:rsidR="009253E0">
                    <w:rPr>
                      <w:rFonts w:ascii="Aptos" w:hAnsi="Aptos" w:cs="Calibri"/>
                      <w:color w:val="242424"/>
                      <w:lang w:val="en-GB" w:eastAsia="ja-JP"/>
                    </w:rPr>
                    <w:t xml:space="preserve">uMRD rates in multiple </w:t>
                  </w:r>
                  <w:r>
                    <w:rPr>
                      <w:rFonts w:ascii="Aptos" w:hAnsi="Aptos" w:cs="Calibri"/>
                      <w:color w:val="242424"/>
                      <w:lang w:val="en-GB" w:eastAsia="ja-JP"/>
                    </w:rPr>
                    <w:t>Phase 3 Ven</w:t>
                  </w:r>
                  <w:r w:rsidR="004E10A3">
                    <w:rPr>
                      <w:rFonts w:ascii="Aptos" w:hAnsi="Aptos" w:cs="Calibri"/>
                      <w:color w:val="242424"/>
                      <w:lang w:val="en-GB" w:eastAsia="ja-JP"/>
                    </w:rPr>
                    <w:t>-based</w:t>
                  </w:r>
                  <w:r>
                    <w:rPr>
                      <w:rFonts w:ascii="Aptos" w:hAnsi="Aptos" w:cs="Calibri"/>
                      <w:color w:val="242424"/>
                      <w:lang w:val="en-GB" w:eastAsia="ja-JP"/>
                    </w:rPr>
                    <w:t xml:space="preserve"> trials</w:t>
                  </w:r>
                  <w:r w:rsidR="005E00E3">
                    <w:rPr>
                      <w:rFonts w:ascii="Aptos" w:hAnsi="Aptos" w:cs="Calibri"/>
                      <w:color w:val="242424"/>
                      <w:lang w:val="en-GB" w:eastAsia="ja-JP"/>
                    </w:rPr>
                    <w:t xml:space="preserve">: </w:t>
                  </w:r>
                </w:p>
                <w:p w14:paraId="4CA057AD" w14:textId="063EF48C" w:rsidR="0046190A" w:rsidRPr="00F86729" w:rsidRDefault="00F750D8" w:rsidP="00F86729">
                  <w:pPr>
                    <w:keepNext/>
                    <w:rPr>
                      <w:rFonts w:ascii="Aptos" w:hAnsi="Aptos" w:cs="Calibri"/>
                      <w:color w:val="242424"/>
                      <w:lang w:val="en-GB" w:eastAsia="ja-JP"/>
                    </w:rPr>
                  </w:pPr>
                  <w:r w:rsidRPr="00F750D8">
                    <w:rPr>
                      <w:rFonts w:ascii="Aptos" w:hAnsi="Aptos" w:cs="Calibri"/>
                      <w:noProof/>
                      <w:color w:val="242424"/>
                      <w:lang w:val="en-GB" w:eastAsia="ja-JP"/>
                    </w:rPr>
                    <w:drawing>
                      <wp:inline distT="0" distB="0" distL="0" distR="0" wp14:anchorId="75703BCE" wp14:editId="3A201441">
                        <wp:extent cx="5718247" cy="2966400"/>
                        <wp:effectExtent l="0" t="0" r="0" b="5715"/>
                        <wp:docPr id="109162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22133" name=""/>
                                <pic:cNvPicPr/>
                              </pic:nvPicPr>
                              <pic:blipFill>
                                <a:blip r:embed="rId28"/>
                                <a:stretch>
                                  <a:fillRect/>
                                </a:stretch>
                              </pic:blipFill>
                              <pic:spPr>
                                <a:xfrm>
                                  <a:off x="0" y="0"/>
                                  <a:ext cx="5731052" cy="2973043"/>
                                </a:xfrm>
                                <a:prstGeom prst="rect">
                                  <a:avLst/>
                                </a:prstGeom>
                              </pic:spPr>
                            </pic:pic>
                          </a:graphicData>
                        </a:graphic>
                      </wp:inline>
                    </w:drawing>
                  </w:r>
                </w:p>
                <w:p w14:paraId="4DFB3024" w14:textId="77777777" w:rsidR="001F73BB" w:rsidRPr="00275D18" w:rsidRDefault="001F73BB" w:rsidP="007A4084">
                  <w:pPr>
                    <w:rPr>
                      <w:rFonts w:ascii="Aptos" w:hAnsi="Aptos" w:cs="Calibri"/>
                      <w:i/>
                      <w:iCs/>
                      <w:color w:val="242424"/>
                      <w:sz w:val="22"/>
                      <w:szCs w:val="22"/>
                    </w:rPr>
                  </w:pPr>
                </w:p>
                <w:p w14:paraId="19541A94" w14:textId="77777777" w:rsidR="00CA31E6" w:rsidRPr="00CA31E6" w:rsidRDefault="00CA31E6" w:rsidP="00CA31E6">
                  <w:pPr>
                    <w:textAlignment w:val="baseline"/>
                    <w:rPr>
                      <w:rFonts w:ascii="Aptos" w:eastAsia="Times New Roman" w:hAnsi="Aptos" w:cs="Calibri"/>
                      <w:sz w:val="22"/>
                      <w:szCs w:val="22"/>
                    </w:rPr>
                  </w:pPr>
                  <w:commentRangeStart w:id="9"/>
                  <w:r w:rsidRPr="00CA31E6">
                    <w:rPr>
                      <w:rFonts w:ascii="Aptos" w:eastAsia="Times New Roman" w:hAnsi="Aptos" w:cs="Calibri"/>
                      <w:b/>
                      <w:bCs/>
                      <w:sz w:val="22"/>
                      <w:szCs w:val="22"/>
                      <w:lang w:val="en-IN"/>
                    </w:rPr>
                    <w:t>For questions, please reach out to:</w:t>
                  </w:r>
                  <w:r w:rsidRPr="00CA31E6">
                    <w:rPr>
                      <w:rFonts w:ascii="Arial" w:eastAsia="Times New Roman" w:hAnsi="Arial" w:cs="Arial"/>
                      <w:sz w:val="22"/>
                      <w:szCs w:val="22"/>
                      <w:lang w:val="en-IN"/>
                    </w:rPr>
                    <w:t> </w:t>
                  </w:r>
                  <w:r w:rsidRPr="00CA31E6">
                    <w:rPr>
                      <w:rFonts w:ascii="Aptos" w:eastAsia="Times New Roman" w:hAnsi="Aptos" w:cs="Calibri"/>
                      <w:sz w:val="22"/>
                      <w:szCs w:val="22"/>
                    </w:rPr>
                    <w:t> </w:t>
                  </w:r>
                </w:p>
                <w:p w14:paraId="131295E9" w14:textId="77777777" w:rsidR="001D0C6A" w:rsidRPr="001D0C6A" w:rsidRDefault="001D0C6A" w:rsidP="001D0C6A">
                  <w:pPr>
                    <w:rPr>
                      <w:rFonts w:ascii="Calibri" w:eastAsia="Calibri" w:hAnsi="Calibri" w:cs="Times New Roman"/>
                      <w:kern w:val="2"/>
                      <w14:ligatures w14:val="standardContextual"/>
                    </w:rPr>
                  </w:pPr>
                  <w:r w:rsidRPr="001D0C6A">
                    <w:rPr>
                      <w:rFonts w:ascii="Calibri" w:eastAsia="Calibri" w:hAnsi="Calibri" w:cs="Times New Roman"/>
                      <w:kern w:val="2"/>
                      <w14:ligatures w14:val="standardContextual"/>
                    </w:rPr>
                    <w:t>International / Affiliates:</w:t>
                  </w:r>
                  <w:r w:rsidRPr="001D0C6A">
                    <w:rPr>
                      <w:rFonts w:ascii="Calibri" w:eastAsia="Calibri" w:hAnsi="Calibri" w:cs="Times New Roman"/>
                      <w:b/>
                      <w:bCs/>
                      <w:i/>
                      <w:iCs/>
                      <w:kern w:val="2"/>
                      <w14:ligatures w14:val="standardContextual"/>
                    </w:rPr>
                    <w:t> </w:t>
                  </w:r>
                  <w:hyperlink r:id="rId29" w:history="1">
                    <w:r w:rsidRPr="001D0C6A">
                      <w:rPr>
                        <w:rFonts w:ascii="Calibri" w:eastAsia="Calibri" w:hAnsi="Calibri" w:cs="Times New Roman"/>
                        <w:color w:val="0563C1"/>
                        <w:kern w:val="2"/>
                        <w:u w:val="single"/>
                        <w14:ligatures w14:val="standardContextual"/>
                      </w:rPr>
                      <w:t>Harjit Bajwa</w:t>
                    </w:r>
                  </w:hyperlink>
                  <w:r w:rsidRPr="001D0C6A">
                    <w:rPr>
                      <w:rFonts w:ascii="Calibri" w:eastAsia="Calibri" w:hAnsi="Calibri" w:cs="Times New Roman"/>
                      <w:kern w:val="2"/>
                      <w14:ligatures w14:val="standardContextual"/>
                    </w:rPr>
                    <w:t> </w:t>
                  </w:r>
                  <w:r w:rsidRPr="001D0C6A">
                    <w:rPr>
                      <w:rFonts w:ascii="Calibri" w:eastAsia="Calibri" w:hAnsi="Calibri" w:cs="Times New Roman"/>
                      <w:b/>
                      <w:bCs/>
                      <w:i/>
                      <w:iCs/>
                      <w:kern w:val="2"/>
                      <w14:ligatures w14:val="standardContextual"/>
                    </w:rPr>
                    <w:t> </w:t>
                  </w:r>
                </w:p>
                <w:p w14:paraId="4B0DD599" w14:textId="77777777" w:rsidR="001D0C6A" w:rsidRPr="001D0C6A" w:rsidRDefault="001D0C6A" w:rsidP="001D0C6A">
                  <w:pPr>
                    <w:rPr>
                      <w:rFonts w:ascii="Calibri" w:eastAsia="Calibri" w:hAnsi="Calibri" w:cs="Times New Roman"/>
                      <w:kern w:val="2"/>
                      <w14:ligatures w14:val="standardContextual"/>
                    </w:rPr>
                  </w:pPr>
                  <w:r w:rsidRPr="001D0C6A">
                    <w:rPr>
                      <w:rFonts w:ascii="Calibri" w:eastAsia="Calibri" w:hAnsi="Calibri" w:cs="Times New Roman"/>
                      <w:kern w:val="2"/>
                      <w14:ligatures w14:val="standardContextual"/>
                    </w:rPr>
                    <w:t xml:space="preserve">US: </w:t>
                  </w:r>
                  <w:hyperlink r:id="rId30" w:history="1">
                    <w:r w:rsidRPr="001D0C6A">
                      <w:rPr>
                        <w:rFonts w:ascii="Calibri" w:eastAsia="Calibri" w:hAnsi="Calibri" w:cs="Times New Roman"/>
                        <w:color w:val="0563C1"/>
                        <w:kern w:val="2"/>
                        <w:u w:val="single"/>
                        <w14:ligatures w14:val="standardContextual"/>
                      </w:rPr>
                      <w:t>Richa Sharma</w:t>
                    </w:r>
                  </w:hyperlink>
                </w:p>
                <w:p w14:paraId="7636EC62" w14:textId="6CC83322" w:rsidR="008E0239" w:rsidRPr="008E0239" w:rsidRDefault="001D0C6A" w:rsidP="001D0C6A">
                  <w:pPr>
                    <w:textAlignment w:val="baseline"/>
                    <w:rPr>
                      <w:rFonts w:ascii="Aptos" w:eastAsia="Times New Roman" w:hAnsi="Aptos" w:cs="Calibri"/>
                      <w:sz w:val="22"/>
                      <w:szCs w:val="22"/>
                    </w:rPr>
                  </w:pPr>
                  <w:r w:rsidRPr="001D0C6A">
                    <w:rPr>
                      <w:rFonts w:ascii="Calibri" w:eastAsia="Calibri" w:hAnsi="Calibri" w:cs="Times New Roman"/>
                      <w:kern w:val="2"/>
                      <w:lang w:val="en-IN"/>
                      <w14:ligatures w14:val="standardContextual"/>
                    </w:rPr>
                    <w:t>Corporate Strategy, R&amp;D and PCS</w:t>
                  </w:r>
                  <w:r w:rsidRPr="001D0C6A">
                    <w:rPr>
                      <w:rFonts w:ascii="Calibri" w:eastAsia="Calibri" w:hAnsi="Calibri" w:cs="Times New Roman"/>
                      <w:kern w:val="2"/>
                      <w14:ligatures w14:val="standardContextual"/>
                    </w:rPr>
                    <w:t>:</w:t>
                  </w:r>
                  <w:r w:rsidRPr="001D0C6A">
                    <w:rPr>
                      <w:rFonts w:ascii="Calibri" w:eastAsia="Calibri" w:hAnsi="Calibri" w:cs="Times New Roman"/>
                      <w:b/>
                      <w:bCs/>
                      <w:i/>
                      <w:iCs/>
                      <w:kern w:val="2"/>
                      <w:u w:val="single"/>
                      <w14:ligatures w14:val="standardContextual"/>
                    </w:rPr>
                    <w:t xml:space="preserve"> </w:t>
                  </w:r>
                  <w:r w:rsidRPr="001D0C6A">
                    <w:rPr>
                      <w:rFonts w:ascii="Calibri" w:eastAsia="Calibri" w:hAnsi="Calibri" w:cs="Times New Roman"/>
                      <w:kern w:val="2"/>
                      <w:u w:val="single"/>
                      <w14:ligatures w14:val="standardContextual"/>
                    </w:rPr>
                    <w:t>Claudia Lanauze Torres</w:t>
                  </w:r>
                </w:p>
                <w:p w14:paraId="53C007D4" w14:textId="77777777" w:rsidR="00671FA7" w:rsidRDefault="00671FA7" w:rsidP="00EB57CE">
                  <w:pPr>
                    <w:rPr>
                      <w:rFonts w:ascii="Aptos" w:hAnsi="Aptos" w:cs="Calibri"/>
                      <w:color w:val="242424"/>
                      <w:sz w:val="22"/>
                      <w:szCs w:val="22"/>
                    </w:rPr>
                  </w:pPr>
                </w:p>
                <w:p w14:paraId="19795E8E" w14:textId="77777777" w:rsidR="001D0C6A" w:rsidRPr="004A72A3" w:rsidRDefault="001D0C6A" w:rsidP="00EB57CE">
                  <w:pPr>
                    <w:rPr>
                      <w:rFonts w:ascii="Aptos" w:hAnsi="Aptos" w:cs="Calibri"/>
                      <w:color w:val="242424"/>
                      <w:sz w:val="22"/>
                      <w:szCs w:val="22"/>
                    </w:rPr>
                  </w:pPr>
                </w:p>
                <w:p w14:paraId="030295A0" w14:textId="6C61AF9F" w:rsidR="007A4084" w:rsidRPr="00DC552D" w:rsidRDefault="00DC552D" w:rsidP="00DC552D">
                  <w:pPr>
                    <w:spacing w:after="160" w:line="278" w:lineRule="auto"/>
                    <w:rPr>
                      <w:rFonts w:ascii="Calibri" w:eastAsia="Calibri" w:hAnsi="Calibri" w:cs="Times New Roman"/>
                      <w:kern w:val="2"/>
                      <w14:ligatures w14:val="standardContextual"/>
                    </w:rPr>
                  </w:pPr>
                  <w:hyperlink r:id="rId31" w:history="1">
                    <w:r w:rsidRPr="00DC552D">
                      <w:rPr>
                        <w:rFonts w:ascii="Calibri" w:eastAsia="Calibri" w:hAnsi="Calibri" w:cs="Times New Roman"/>
                        <w:color w:val="0563C1"/>
                        <w:kern w:val="2"/>
                        <w:u w:val="single"/>
                        <w14:ligatures w14:val="standardContextual"/>
                      </w:rPr>
                      <w:t>Invite your colleagues to CI Edge</w:t>
                    </w:r>
                  </w:hyperlink>
                  <w:r w:rsidRPr="00DC552D">
                    <w:rPr>
                      <w:rFonts w:ascii="Calibri" w:eastAsia="Calibri" w:hAnsi="Calibri" w:cs="Times New Roman"/>
                      <w:kern w:val="2"/>
                      <w14:ligatures w14:val="standardContextual"/>
                    </w:rPr>
                    <w:t xml:space="preserve"> | </w:t>
                  </w:r>
                  <w:hyperlink r:id="rId32" w:history="1">
                    <w:r w:rsidRPr="00DC552D">
                      <w:rPr>
                        <w:rFonts w:ascii="Calibri" w:eastAsia="Calibri" w:hAnsi="Calibri" w:cs="Times New Roman"/>
                        <w:color w:val="0563C1"/>
                        <w:kern w:val="2"/>
                        <w:u w:val="single"/>
                        <w14:ligatures w14:val="standardContextual"/>
                      </w:rPr>
                      <w:t>Manage Email Preferences |</w:t>
                    </w:r>
                  </w:hyperlink>
                  <w:r w:rsidRPr="00DC552D">
                    <w:rPr>
                      <w:rFonts w:ascii="Calibri" w:eastAsia="Calibri" w:hAnsi="Calibri" w:cs="Times New Roman"/>
                      <w:kern w:val="2"/>
                      <w14:ligatures w14:val="standardContextual"/>
                    </w:rPr>
                    <w:t xml:space="preserve"> </w:t>
                  </w:r>
                  <w:hyperlink r:id="rId33" w:history="1">
                    <w:r w:rsidRPr="00DC552D">
                      <w:rPr>
                        <w:rFonts w:ascii="Calibri" w:eastAsia="Calibri" w:hAnsi="Calibri" w:cs="Times New Roman"/>
                        <w:color w:val="0563C1"/>
                        <w:kern w:val="2"/>
                        <w:u w:val="single"/>
                        <w14:ligatures w14:val="standardContextual"/>
                      </w:rPr>
                      <w:t>Unsubscribe</w:t>
                    </w:r>
                  </w:hyperlink>
                  <w:commentRangeEnd w:id="9"/>
                  <w:r w:rsidR="00240310" w:rsidRPr="00DC552D">
                    <w:rPr>
                      <w:rStyle w:val="CommentReference"/>
                      <w:rFonts w:ascii="Calibri" w:eastAsia="Calibri" w:hAnsi="Calibri" w:cs="Times New Roman"/>
                      <w:kern w:val="2"/>
                      <w:sz w:val="24"/>
                      <w:szCs w:val="24"/>
                      <w14:ligatures w14:val="standardContextual"/>
                    </w:rPr>
                    <w:commentReference w:id="9"/>
                  </w:r>
                </w:p>
                <w:p w14:paraId="52C27FFB" w14:textId="77777777" w:rsidR="00A477F0" w:rsidRDefault="00A477F0" w:rsidP="003B1AD7">
                  <w:pPr>
                    <w:keepNext/>
                    <w:rPr>
                      <w:rFonts w:ascii="Calibri" w:hAnsi="Calibri" w:cs="Calibri"/>
                      <w:b/>
                      <w:bCs/>
                      <w:lang w:eastAsia="ja-JP"/>
                    </w:rPr>
                  </w:pPr>
                </w:p>
              </w:tc>
            </w:tr>
          </w:tbl>
          <w:bookmarkEnd w:id="1"/>
          <w:bookmarkEnd w:id="2"/>
          <w:p w14:paraId="1531C7DE" w14:textId="0F05E614" w:rsidR="00DE3125" w:rsidRPr="00955D00" w:rsidRDefault="00F70E81" w:rsidP="00F81C55">
            <w:pPr>
              <w:rPr>
                <w:rFonts w:ascii="Aptos" w:eastAsia="Times New Roman" w:hAnsi="Aptos" w:cs="Calibri"/>
                <w:sz w:val="22"/>
                <w:szCs w:val="22"/>
                <w:lang w:eastAsia="en-IN"/>
              </w:rPr>
            </w:pPr>
            <w:r w:rsidRPr="00F70E81">
              <w:rPr>
                <w:rFonts w:ascii="Aptos" w:hAnsi="Aptos" w:cs="Calibri"/>
                <w:i/>
                <w:iCs/>
                <w:color w:val="000000"/>
                <w:sz w:val="20"/>
                <w:szCs w:val="20"/>
              </w:rPr>
              <w:t>This document contains competitive intelligence collected via APEX/IMABI approved methods or vendors. We collect competitive intelligence consistent with industry standards and AbbVie policy. Not for commercial field distribution. Please reach out to AbbVie Legal or OEC with any questions</w:t>
            </w:r>
          </w:p>
        </w:tc>
      </w:tr>
      <w:tr w:rsidR="00682A93" w:rsidRPr="003A4E1A" w14:paraId="05D2B529" w14:textId="77777777" w:rsidTr="001B503A">
        <w:trPr>
          <w:trHeight w:val="144"/>
        </w:trPr>
        <w:tc>
          <w:tcPr>
            <w:tcW w:w="9288" w:type="dxa"/>
            <w:tcMar>
              <w:top w:w="0" w:type="dxa"/>
              <w:left w:w="108" w:type="dxa"/>
              <w:bottom w:w="0" w:type="dxa"/>
              <w:right w:w="108" w:type="dxa"/>
            </w:tcMar>
            <w:vAlign w:val="bottom"/>
          </w:tcPr>
          <w:p w14:paraId="0A053BC5" w14:textId="77777777" w:rsidR="00682A93" w:rsidRPr="003A4E1A" w:rsidRDefault="00682A93" w:rsidP="007A0F67">
            <w:pPr>
              <w:rPr>
                <w:rFonts w:ascii="Calibri" w:eastAsia="Times New Roman" w:hAnsi="Calibri" w:cs="Calibri"/>
                <w:b/>
                <w:bCs/>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jwa, Harjit" w:date="2026-02-11T09:17:00Z" w:initials="HB">
    <w:p w14:paraId="28384B0C" w14:textId="77777777" w:rsidR="00184A3F" w:rsidRDefault="00184A3F" w:rsidP="00184A3F">
      <w:pPr>
        <w:pStyle w:val="CommentText"/>
      </w:pPr>
      <w:r>
        <w:rPr>
          <w:rStyle w:val="CommentReference"/>
        </w:rPr>
        <w:annotationRef/>
      </w:r>
      <w:r>
        <w:t>Change text to “Advances in Therapy”</w:t>
      </w:r>
    </w:p>
  </w:comment>
  <w:comment w:id="4" w:author="Bajwa, Harjit" w:date="2026-02-11T09:18:00Z" w:initials="HB">
    <w:p w14:paraId="63164720" w14:textId="77777777" w:rsidR="006D5775" w:rsidRDefault="006D5775" w:rsidP="006D5775">
      <w:pPr>
        <w:pStyle w:val="CommentText"/>
      </w:pPr>
      <w:r>
        <w:rPr>
          <w:rStyle w:val="CommentReference"/>
        </w:rPr>
        <w:annotationRef/>
      </w:r>
      <w:r>
        <w:t>Duplicate “regimens”</w:t>
      </w:r>
    </w:p>
  </w:comment>
  <w:comment w:id="5" w:author="Bajwa, Harjit" w:date="2026-02-11T09:19:00Z" w:initials="HB">
    <w:p w14:paraId="6ACCE9E5" w14:textId="77777777" w:rsidR="006D5775" w:rsidRDefault="006D5775" w:rsidP="006D5775">
      <w:pPr>
        <w:pStyle w:val="CommentText"/>
      </w:pPr>
      <w:r>
        <w:rPr>
          <w:rStyle w:val="CommentReference"/>
        </w:rPr>
        <w:annotationRef/>
      </w:r>
      <w:r>
        <w:t>We can just say “Ven-based”</w:t>
      </w:r>
    </w:p>
  </w:comment>
  <w:comment w:id="6" w:author="Sharma, Richa P" w:date="2026-02-11T12:25:00Z" w:initials="RS">
    <w:p w14:paraId="16C83640" w14:textId="77777777" w:rsidR="007E325B" w:rsidRDefault="007E325B" w:rsidP="007E325B">
      <w:pPr>
        <w:pStyle w:val="CommentText"/>
      </w:pPr>
      <w:r>
        <w:rPr>
          <w:rStyle w:val="CommentReference"/>
        </w:rPr>
        <w:annotationRef/>
      </w:r>
      <w:r>
        <w:t>Should we say Medium-High</w:t>
      </w:r>
    </w:p>
  </w:comment>
  <w:comment w:id="7" w:author="Bajwa, Harjit" w:date="2026-02-11T10:56:00Z" w:initials="HB">
    <w:p w14:paraId="6C43C280" w14:textId="77777777" w:rsidR="00A16D14" w:rsidRDefault="00A16D14" w:rsidP="00A16D14">
      <w:pPr>
        <w:pStyle w:val="CommentText"/>
      </w:pPr>
      <w:r>
        <w:rPr>
          <w:rStyle w:val="CommentReference"/>
        </w:rPr>
        <w:annotationRef/>
      </w:r>
      <w:r>
        <w:t>Clinical and administrational</w:t>
      </w:r>
    </w:p>
  </w:comment>
  <w:comment w:id="8" w:author="Bajwa, Harjit" w:date="2026-02-11T10:57:00Z" w:initials="HB">
    <w:p w14:paraId="055E575E" w14:textId="77777777" w:rsidR="00EE325E" w:rsidRDefault="00EE325E" w:rsidP="00EE325E">
      <w:pPr>
        <w:pStyle w:val="CommentText"/>
      </w:pPr>
      <w:r>
        <w:rPr>
          <w:rStyle w:val="CommentReference"/>
        </w:rPr>
        <w:annotationRef/>
      </w:r>
      <w:r>
        <w:t>“currently addressed by Ven-based regimens”</w:t>
      </w:r>
    </w:p>
  </w:comment>
  <w:comment w:id="9" w:author="Bajwa, Harjit" w:date="2026-02-11T09:16:00Z" w:initials="HB">
    <w:p w14:paraId="6901E128" w14:textId="1799BAA4" w:rsidR="00240310" w:rsidRDefault="00240310" w:rsidP="00240310">
      <w:pPr>
        <w:pStyle w:val="CommentText"/>
      </w:pPr>
      <w:r>
        <w:rPr>
          <w:rStyle w:val="CommentReference"/>
        </w:rPr>
        <w:annotationRef/>
      </w:r>
      <w:r>
        <w:t>Formatting - Aptos vs. Calibri vs. Arial</w:t>
      </w:r>
      <w:r>
        <w:br/>
      </w:r>
      <w:r>
        <w:br/>
        <w:t>Black hyperlink vs. blue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384B0C" w15:done="0"/>
  <w15:commentEx w15:paraId="63164720" w15:done="0"/>
  <w15:commentEx w15:paraId="6ACCE9E5" w15:done="0"/>
  <w15:commentEx w15:paraId="16C83640" w15:done="0"/>
  <w15:commentEx w15:paraId="6C43C280" w15:done="0"/>
  <w15:commentEx w15:paraId="055E575E" w15:done="0"/>
  <w15:commentEx w15:paraId="6901E1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F749D7" w16cex:dateUtc="2026-02-11T15:17:00Z"/>
  <w16cex:commentExtensible w16cex:durableId="604F319A" w16cex:dateUtc="2026-02-11T15:18:00Z"/>
  <w16cex:commentExtensible w16cex:durableId="37045B68" w16cex:dateUtc="2026-02-11T15:19:00Z"/>
  <w16cex:commentExtensible w16cex:durableId="2E50CAFF" w16cex:dateUtc="2026-02-11T18:25:00Z"/>
  <w16cex:commentExtensible w16cex:durableId="7CFF9EA6" w16cex:dateUtc="2026-02-11T16:56:00Z"/>
  <w16cex:commentExtensible w16cex:durableId="710CFEDF" w16cex:dateUtc="2026-02-11T16:57:00Z"/>
  <w16cex:commentExtensible w16cex:durableId="45217DD6" w16cex:dateUtc="2026-02-11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384B0C" w16cid:durableId="45F749D7"/>
  <w16cid:commentId w16cid:paraId="63164720" w16cid:durableId="604F319A"/>
  <w16cid:commentId w16cid:paraId="6ACCE9E5" w16cid:durableId="37045B68"/>
  <w16cid:commentId w16cid:paraId="16C83640" w16cid:durableId="2E50CAFF"/>
  <w16cid:commentId w16cid:paraId="6C43C280" w16cid:durableId="7CFF9EA6"/>
  <w16cid:commentId w16cid:paraId="055E575E" w16cid:durableId="710CFEDF"/>
  <w16cid:commentId w16cid:paraId="6901E128" w16cid:durableId="45217D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5E206968"/>
    <w:lvl w:ilvl="0" w:tplc="04090001">
      <w:start w:val="1"/>
      <w:numFmt w:val="bullet"/>
      <w:lvlText w:val=""/>
      <w:lvlJc w:val="left"/>
      <w:pPr>
        <w:ind w:left="720" w:hanging="360"/>
      </w:pPr>
      <w:rPr>
        <w:rFonts w:ascii="Symbol" w:hAnsi="Symbol" w:hint="default"/>
      </w:rPr>
    </w:lvl>
    <w:lvl w:ilvl="1" w:tplc="0F3E1B8E">
      <w:start w:val="1"/>
      <w:numFmt w:val="bullet"/>
      <w:lvlText w:val="o"/>
      <w:lvlJc w:val="left"/>
      <w:pPr>
        <w:ind w:left="1440" w:hanging="360"/>
      </w:pPr>
      <w:rPr>
        <w:rFonts w:ascii="Courier New" w:hAnsi="Courier New" w:hint="default"/>
        <w:color w:val="000000" w:themeColor="text1"/>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6" w15:restartNumberingAfterBreak="0">
    <w:nsid w:val="418C507C"/>
    <w:multiLevelType w:val="hybridMultilevel"/>
    <w:tmpl w:val="ED103D54"/>
    <w:lvl w:ilvl="0" w:tplc="4C04A7E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630599"/>
    <w:multiLevelType w:val="hybridMultilevel"/>
    <w:tmpl w:val="EF041534"/>
    <w:lvl w:ilvl="0" w:tplc="FFFFFFFF">
      <w:start w:val="1"/>
      <w:numFmt w:val="bullet"/>
      <w:lvlText w:val=""/>
      <w:lvlJc w:val="left"/>
      <w:pPr>
        <w:ind w:left="720" w:hanging="360"/>
      </w:pPr>
      <w:rPr>
        <w:rFonts w:ascii="Symbol" w:hAnsi="Symbol" w:hint="default"/>
        <w:color w:val="000000" w:themeColor="text1"/>
      </w:rPr>
    </w:lvl>
    <w:lvl w:ilvl="1" w:tplc="0F3E1B8E">
      <w:start w:val="1"/>
      <w:numFmt w:val="bullet"/>
      <w:lvlText w:val="o"/>
      <w:lvlJc w:val="left"/>
      <w:pPr>
        <w:ind w:left="1440" w:hanging="360"/>
      </w:pPr>
      <w:rPr>
        <w:rFonts w:ascii="Courier New" w:hAnsi="Courier New" w:hint="default"/>
        <w:color w:val="000000"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B0E7D78"/>
    <w:multiLevelType w:val="hybridMultilevel"/>
    <w:tmpl w:val="A3F0B416"/>
    <w:lvl w:ilvl="0" w:tplc="CBEEEFFA">
      <w:start w:val="1"/>
      <w:numFmt w:val="bullet"/>
      <w:lvlText w:val=""/>
      <w:lvlJc w:val="left"/>
      <w:pPr>
        <w:ind w:left="720" w:hanging="360"/>
      </w:pPr>
      <w:rPr>
        <w:rFonts w:ascii="Symbol" w:hAnsi="Symbol" w:hint="default"/>
        <w:color w:val="000000" w:themeColor="text1"/>
      </w:rPr>
    </w:lvl>
    <w:lvl w:ilvl="1" w:tplc="0F3E1B8E">
      <w:start w:val="1"/>
      <w:numFmt w:val="bullet"/>
      <w:lvlText w:val="o"/>
      <w:lvlJc w:val="left"/>
      <w:pPr>
        <w:ind w:left="1440" w:hanging="360"/>
      </w:pPr>
      <w:rPr>
        <w:rFonts w:ascii="Courier New" w:hAnsi="Courier New" w:hint="default"/>
        <w:color w:val="000000" w:themeColor="text1"/>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3"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5"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582132972">
    <w:abstractNumId w:val="12"/>
  </w:num>
  <w:num w:numId="2" w16cid:durableId="2057193961">
    <w:abstractNumId w:val="15"/>
  </w:num>
  <w:num w:numId="3" w16cid:durableId="554395052">
    <w:abstractNumId w:val="10"/>
  </w:num>
  <w:num w:numId="4" w16cid:durableId="1007094171">
    <w:abstractNumId w:val="1"/>
  </w:num>
  <w:num w:numId="5" w16cid:durableId="621036744">
    <w:abstractNumId w:val="0"/>
  </w:num>
  <w:num w:numId="6" w16cid:durableId="1757553829">
    <w:abstractNumId w:val="2"/>
  </w:num>
  <w:num w:numId="7" w16cid:durableId="643050697">
    <w:abstractNumId w:val="9"/>
  </w:num>
  <w:num w:numId="8" w16cid:durableId="1116173027">
    <w:abstractNumId w:val="4"/>
  </w:num>
  <w:num w:numId="9" w16cid:durableId="149684919">
    <w:abstractNumId w:val="11"/>
  </w:num>
  <w:num w:numId="10" w16cid:durableId="1800146657">
    <w:abstractNumId w:val="14"/>
  </w:num>
  <w:num w:numId="11" w16cid:durableId="1200820972">
    <w:abstractNumId w:val="13"/>
  </w:num>
  <w:num w:numId="12" w16cid:durableId="1896702622">
    <w:abstractNumId w:val="3"/>
  </w:num>
  <w:num w:numId="13" w16cid:durableId="1734770088">
    <w:abstractNumId w:val="5"/>
  </w:num>
  <w:num w:numId="14" w16cid:durableId="1980959632">
    <w:abstractNumId w:val="6"/>
  </w:num>
  <w:num w:numId="15" w16cid:durableId="1124229568">
    <w:abstractNumId w:val="8"/>
  </w:num>
  <w:num w:numId="16" w16cid:durableId="1889754018">
    <w:abstractNumId w:val="7"/>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jwa, Harjit">
    <w15:presenceInfo w15:providerId="AD" w15:userId="S::harjit.bajwa@abbvie.com::c0a66aa0-6712-4730-bf56-b3151bfd957b"/>
  </w15:person>
  <w15:person w15:author="Sharma, Richa P">
    <w15:presenceInfo w15:providerId="AD" w15:userId="S::richa.p.sharma@abbvie.com::84bfca4d-9ec2-4f6f-90ec-a9fdc2fa23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625E"/>
    <w:rsid w:val="000070C7"/>
    <w:rsid w:val="00007E08"/>
    <w:rsid w:val="00010A4A"/>
    <w:rsid w:val="000110D5"/>
    <w:rsid w:val="00020348"/>
    <w:rsid w:val="00022D48"/>
    <w:rsid w:val="000241B5"/>
    <w:rsid w:val="000248AF"/>
    <w:rsid w:val="0002575D"/>
    <w:rsid w:val="00026950"/>
    <w:rsid w:val="00027B01"/>
    <w:rsid w:val="00030549"/>
    <w:rsid w:val="00030B38"/>
    <w:rsid w:val="000319BC"/>
    <w:rsid w:val="00034100"/>
    <w:rsid w:val="00034A18"/>
    <w:rsid w:val="00034B26"/>
    <w:rsid w:val="00035D88"/>
    <w:rsid w:val="00036079"/>
    <w:rsid w:val="00036F96"/>
    <w:rsid w:val="00037B51"/>
    <w:rsid w:val="00037DB2"/>
    <w:rsid w:val="0004308A"/>
    <w:rsid w:val="00044525"/>
    <w:rsid w:val="00051865"/>
    <w:rsid w:val="000521C9"/>
    <w:rsid w:val="0005429D"/>
    <w:rsid w:val="000547C1"/>
    <w:rsid w:val="00055506"/>
    <w:rsid w:val="00055FE5"/>
    <w:rsid w:val="00056B14"/>
    <w:rsid w:val="0005706D"/>
    <w:rsid w:val="00062313"/>
    <w:rsid w:val="0006479D"/>
    <w:rsid w:val="000652ED"/>
    <w:rsid w:val="00065BBA"/>
    <w:rsid w:val="00066167"/>
    <w:rsid w:val="00072BF6"/>
    <w:rsid w:val="00072F52"/>
    <w:rsid w:val="0008109A"/>
    <w:rsid w:val="000867A7"/>
    <w:rsid w:val="00090CE8"/>
    <w:rsid w:val="00093CC9"/>
    <w:rsid w:val="00094018"/>
    <w:rsid w:val="00094D15"/>
    <w:rsid w:val="000967DB"/>
    <w:rsid w:val="0009727C"/>
    <w:rsid w:val="000A1938"/>
    <w:rsid w:val="000A355D"/>
    <w:rsid w:val="000A4EFF"/>
    <w:rsid w:val="000A7939"/>
    <w:rsid w:val="000B0433"/>
    <w:rsid w:val="000B44D0"/>
    <w:rsid w:val="000B4F50"/>
    <w:rsid w:val="000B7787"/>
    <w:rsid w:val="000B7B3C"/>
    <w:rsid w:val="000C1510"/>
    <w:rsid w:val="000C1583"/>
    <w:rsid w:val="000C1F76"/>
    <w:rsid w:val="000C2379"/>
    <w:rsid w:val="000C24FD"/>
    <w:rsid w:val="000C3669"/>
    <w:rsid w:val="000C3751"/>
    <w:rsid w:val="000C3C75"/>
    <w:rsid w:val="000C58AD"/>
    <w:rsid w:val="000C6238"/>
    <w:rsid w:val="000C7A61"/>
    <w:rsid w:val="000D269A"/>
    <w:rsid w:val="000D30DF"/>
    <w:rsid w:val="000D3A1E"/>
    <w:rsid w:val="000D4257"/>
    <w:rsid w:val="000D482B"/>
    <w:rsid w:val="000D6700"/>
    <w:rsid w:val="000E201D"/>
    <w:rsid w:val="000E38EA"/>
    <w:rsid w:val="000E3BCF"/>
    <w:rsid w:val="000E4647"/>
    <w:rsid w:val="000E73A4"/>
    <w:rsid w:val="000F43B4"/>
    <w:rsid w:val="000F4762"/>
    <w:rsid w:val="000F7133"/>
    <w:rsid w:val="00101939"/>
    <w:rsid w:val="00101CD3"/>
    <w:rsid w:val="0010232C"/>
    <w:rsid w:val="00103939"/>
    <w:rsid w:val="00103CA3"/>
    <w:rsid w:val="00105F10"/>
    <w:rsid w:val="00107B13"/>
    <w:rsid w:val="00110582"/>
    <w:rsid w:val="001128E9"/>
    <w:rsid w:val="0011365B"/>
    <w:rsid w:val="00115ED1"/>
    <w:rsid w:val="00116FB9"/>
    <w:rsid w:val="00131C70"/>
    <w:rsid w:val="0013256E"/>
    <w:rsid w:val="001336C0"/>
    <w:rsid w:val="00133FD1"/>
    <w:rsid w:val="00134F2E"/>
    <w:rsid w:val="00135A44"/>
    <w:rsid w:val="00136901"/>
    <w:rsid w:val="0014040A"/>
    <w:rsid w:val="00140744"/>
    <w:rsid w:val="001434F4"/>
    <w:rsid w:val="00143657"/>
    <w:rsid w:val="00144DF6"/>
    <w:rsid w:val="001450A5"/>
    <w:rsid w:val="001476CA"/>
    <w:rsid w:val="00153103"/>
    <w:rsid w:val="00156300"/>
    <w:rsid w:val="001566A9"/>
    <w:rsid w:val="001569F1"/>
    <w:rsid w:val="0016071A"/>
    <w:rsid w:val="00161765"/>
    <w:rsid w:val="00163E8E"/>
    <w:rsid w:val="0016516A"/>
    <w:rsid w:val="001656E2"/>
    <w:rsid w:val="00165EC1"/>
    <w:rsid w:val="00167996"/>
    <w:rsid w:val="001710D4"/>
    <w:rsid w:val="00171C08"/>
    <w:rsid w:val="00172F07"/>
    <w:rsid w:val="0017520A"/>
    <w:rsid w:val="0017528B"/>
    <w:rsid w:val="00175CC2"/>
    <w:rsid w:val="00177677"/>
    <w:rsid w:val="0018172D"/>
    <w:rsid w:val="00182164"/>
    <w:rsid w:val="00182B2F"/>
    <w:rsid w:val="0018340C"/>
    <w:rsid w:val="001839B3"/>
    <w:rsid w:val="00184A3F"/>
    <w:rsid w:val="0018501E"/>
    <w:rsid w:val="001865C7"/>
    <w:rsid w:val="00187512"/>
    <w:rsid w:val="00187E8C"/>
    <w:rsid w:val="001900FF"/>
    <w:rsid w:val="00191CD9"/>
    <w:rsid w:val="00195EA6"/>
    <w:rsid w:val="00196709"/>
    <w:rsid w:val="00196798"/>
    <w:rsid w:val="001968CE"/>
    <w:rsid w:val="001A01E2"/>
    <w:rsid w:val="001A22FC"/>
    <w:rsid w:val="001A2490"/>
    <w:rsid w:val="001A2D0D"/>
    <w:rsid w:val="001A5CAF"/>
    <w:rsid w:val="001A6270"/>
    <w:rsid w:val="001A7E2B"/>
    <w:rsid w:val="001B00B2"/>
    <w:rsid w:val="001B362E"/>
    <w:rsid w:val="001B503A"/>
    <w:rsid w:val="001B5AD5"/>
    <w:rsid w:val="001C009C"/>
    <w:rsid w:val="001C2793"/>
    <w:rsid w:val="001C281D"/>
    <w:rsid w:val="001C294B"/>
    <w:rsid w:val="001C370B"/>
    <w:rsid w:val="001C3EE0"/>
    <w:rsid w:val="001C415D"/>
    <w:rsid w:val="001C61D5"/>
    <w:rsid w:val="001C688A"/>
    <w:rsid w:val="001C6AE1"/>
    <w:rsid w:val="001C70E7"/>
    <w:rsid w:val="001C7F87"/>
    <w:rsid w:val="001D05A6"/>
    <w:rsid w:val="001D0C6A"/>
    <w:rsid w:val="001D6A57"/>
    <w:rsid w:val="001D7118"/>
    <w:rsid w:val="001D7C21"/>
    <w:rsid w:val="001E0D64"/>
    <w:rsid w:val="001E21C6"/>
    <w:rsid w:val="001E2EEE"/>
    <w:rsid w:val="001E38AD"/>
    <w:rsid w:val="001E5D0F"/>
    <w:rsid w:val="001E65D1"/>
    <w:rsid w:val="001F0103"/>
    <w:rsid w:val="001F43DE"/>
    <w:rsid w:val="001F45CB"/>
    <w:rsid w:val="001F4E12"/>
    <w:rsid w:val="001F73BB"/>
    <w:rsid w:val="001F748F"/>
    <w:rsid w:val="001F7624"/>
    <w:rsid w:val="00200B8D"/>
    <w:rsid w:val="00201261"/>
    <w:rsid w:val="00202BE9"/>
    <w:rsid w:val="002043C1"/>
    <w:rsid w:val="00205CDB"/>
    <w:rsid w:val="002074CA"/>
    <w:rsid w:val="00213E17"/>
    <w:rsid w:val="00214CC2"/>
    <w:rsid w:val="00223F07"/>
    <w:rsid w:val="002247EE"/>
    <w:rsid w:val="00227114"/>
    <w:rsid w:val="002273BB"/>
    <w:rsid w:val="00227F45"/>
    <w:rsid w:val="00230A27"/>
    <w:rsid w:val="002310C9"/>
    <w:rsid w:val="00240310"/>
    <w:rsid w:val="0024216E"/>
    <w:rsid w:val="002468D5"/>
    <w:rsid w:val="00246EA9"/>
    <w:rsid w:val="00250255"/>
    <w:rsid w:val="00251293"/>
    <w:rsid w:val="0025186C"/>
    <w:rsid w:val="00251BE2"/>
    <w:rsid w:val="00252575"/>
    <w:rsid w:val="00253792"/>
    <w:rsid w:val="00254A6C"/>
    <w:rsid w:val="00256B49"/>
    <w:rsid w:val="00256DE8"/>
    <w:rsid w:val="00256EE1"/>
    <w:rsid w:val="0026173E"/>
    <w:rsid w:val="002624BC"/>
    <w:rsid w:val="00263D21"/>
    <w:rsid w:val="00264A65"/>
    <w:rsid w:val="002652DC"/>
    <w:rsid w:val="0026635C"/>
    <w:rsid w:val="002676F4"/>
    <w:rsid w:val="00270710"/>
    <w:rsid w:val="00272A13"/>
    <w:rsid w:val="0027403D"/>
    <w:rsid w:val="002742C8"/>
    <w:rsid w:val="0027491D"/>
    <w:rsid w:val="00274EF8"/>
    <w:rsid w:val="00275117"/>
    <w:rsid w:val="00275D18"/>
    <w:rsid w:val="002773BD"/>
    <w:rsid w:val="00284689"/>
    <w:rsid w:val="00284902"/>
    <w:rsid w:val="0028563B"/>
    <w:rsid w:val="00287A1B"/>
    <w:rsid w:val="002904D8"/>
    <w:rsid w:val="00290CC8"/>
    <w:rsid w:val="002940E3"/>
    <w:rsid w:val="0029542D"/>
    <w:rsid w:val="00295CA6"/>
    <w:rsid w:val="00295EE8"/>
    <w:rsid w:val="002A2053"/>
    <w:rsid w:val="002A2496"/>
    <w:rsid w:val="002A31C6"/>
    <w:rsid w:val="002A4536"/>
    <w:rsid w:val="002B3C20"/>
    <w:rsid w:val="002B4B32"/>
    <w:rsid w:val="002B4BCC"/>
    <w:rsid w:val="002B568D"/>
    <w:rsid w:val="002C01FC"/>
    <w:rsid w:val="002C0E44"/>
    <w:rsid w:val="002C18DB"/>
    <w:rsid w:val="002C6E62"/>
    <w:rsid w:val="002C770B"/>
    <w:rsid w:val="002D1E41"/>
    <w:rsid w:val="002D3526"/>
    <w:rsid w:val="002E0BA4"/>
    <w:rsid w:val="002E3942"/>
    <w:rsid w:val="002E59E0"/>
    <w:rsid w:val="002E644F"/>
    <w:rsid w:val="002E7608"/>
    <w:rsid w:val="002F0E8B"/>
    <w:rsid w:val="002F1461"/>
    <w:rsid w:val="002F1B76"/>
    <w:rsid w:val="002F2A00"/>
    <w:rsid w:val="002F317E"/>
    <w:rsid w:val="002F5686"/>
    <w:rsid w:val="0030034C"/>
    <w:rsid w:val="00300A90"/>
    <w:rsid w:val="00300D7C"/>
    <w:rsid w:val="00305181"/>
    <w:rsid w:val="003061CB"/>
    <w:rsid w:val="0030636B"/>
    <w:rsid w:val="00306588"/>
    <w:rsid w:val="00307CC4"/>
    <w:rsid w:val="00313853"/>
    <w:rsid w:val="00316F67"/>
    <w:rsid w:val="00321F0B"/>
    <w:rsid w:val="00322538"/>
    <w:rsid w:val="00333017"/>
    <w:rsid w:val="00333943"/>
    <w:rsid w:val="00340EC1"/>
    <w:rsid w:val="00341B7A"/>
    <w:rsid w:val="00341E1C"/>
    <w:rsid w:val="00341FA4"/>
    <w:rsid w:val="003424FC"/>
    <w:rsid w:val="003452E8"/>
    <w:rsid w:val="003456F7"/>
    <w:rsid w:val="00347AF9"/>
    <w:rsid w:val="003503FD"/>
    <w:rsid w:val="00350911"/>
    <w:rsid w:val="00351D39"/>
    <w:rsid w:val="00354ED4"/>
    <w:rsid w:val="00355CA3"/>
    <w:rsid w:val="00356D8D"/>
    <w:rsid w:val="003662F5"/>
    <w:rsid w:val="00367835"/>
    <w:rsid w:val="00370F3A"/>
    <w:rsid w:val="00371394"/>
    <w:rsid w:val="0037284A"/>
    <w:rsid w:val="003748F1"/>
    <w:rsid w:val="00375D2E"/>
    <w:rsid w:val="00377D66"/>
    <w:rsid w:val="00380722"/>
    <w:rsid w:val="00380AF9"/>
    <w:rsid w:val="00380DAC"/>
    <w:rsid w:val="00384BB8"/>
    <w:rsid w:val="00386688"/>
    <w:rsid w:val="00387359"/>
    <w:rsid w:val="00390B4E"/>
    <w:rsid w:val="00391DEB"/>
    <w:rsid w:val="0039328E"/>
    <w:rsid w:val="00393D2B"/>
    <w:rsid w:val="00394F46"/>
    <w:rsid w:val="0039570B"/>
    <w:rsid w:val="00397A5B"/>
    <w:rsid w:val="003A1FDE"/>
    <w:rsid w:val="003A4073"/>
    <w:rsid w:val="003A4859"/>
    <w:rsid w:val="003A4E1A"/>
    <w:rsid w:val="003A4FB1"/>
    <w:rsid w:val="003A6BD6"/>
    <w:rsid w:val="003B162D"/>
    <w:rsid w:val="003B1AD7"/>
    <w:rsid w:val="003B4A01"/>
    <w:rsid w:val="003B6031"/>
    <w:rsid w:val="003C1BF4"/>
    <w:rsid w:val="003C2CE4"/>
    <w:rsid w:val="003C5333"/>
    <w:rsid w:val="003C6136"/>
    <w:rsid w:val="003D0C28"/>
    <w:rsid w:val="003D5500"/>
    <w:rsid w:val="003D562B"/>
    <w:rsid w:val="003D6CEA"/>
    <w:rsid w:val="003E072B"/>
    <w:rsid w:val="003E1FF8"/>
    <w:rsid w:val="003E4B41"/>
    <w:rsid w:val="003E4D13"/>
    <w:rsid w:val="003E78FA"/>
    <w:rsid w:val="003F017C"/>
    <w:rsid w:val="003F01CA"/>
    <w:rsid w:val="003F088F"/>
    <w:rsid w:val="003F3D92"/>
    <w:rsid w:val="003F5AA4"/>
    <w:rsid w:val="003F6B34"/>
    <w:rsid w:val="0040064B"/>
    <w:rsid w:val="00400A2D"/>
    <w:rsid w:val="00400CB6"/>
    <w:rsid w:val="00401168"/>
    <w:rsid w:val="004018BC"/>
    <w:rsid w:val="00402BA4"/>
    <w:rsid w:val="004038A5"/>
    <w:rsid w:val="004039AC"/>
    <w:rsid w:val="00403A78"/>
    <w:rsid w:val="00403D31"/>
    <w:rsid w:val="00410FE5"/>
    <w:rsid w:val="00411E01"/>
    <w:rsid w:val="0041368D"/>
    <w:rsid w:val="0041381B"/>
    <w:rsid w:val="00414686"/>
    <w:rsid w:val="00414FD1"/>
    <w:rsid w:val="00417766"/>
    <w:rsid w:val="00420BA3"/>
    <w:rsid w:val="00426881"/>
    <w:rsid w:val="00427085"/>
    <w:rsid w:val="004369E8"/>
    <w:rsid w:val="0043713B"/>
    <w:rsid w:val="0043750C"/>
    <w:rsid w:val="00437FCB"/>
    <w:rsid w:val="004427D8"/>
    <w:rsid w:val="00443366"/>
    <w:rsid w:val="004435C8"/>
    <w:rsid w:val="00445511"/>
    <w:rsid w:val="00445BB0"/>
    <w:rsid w:val="0044671D"/>
    <w:rsid w:val="00450982"/>
    <w:rsid w:val="004513BA"/>
    <w:rsid w:val="00452577"/>
    <w:rsid w:val="00453BCB"/>
    <w:rsid w:val="00455A9A"/>
    <w:rsid w:val="0045664B"/>
    <w:rsid w:val="004568CD"/>
    <w:rsid w:val="004575A9"/>
    <w:rsid w:val="004579D2"/>
    <w:rsid w:val="00457FD1"/>
    <w:rsid w:val="0046190A"/>
    <w:rsid w:val="00464705"/>
    <w:rsid w:val="004657CC"/>
    <w:rsid w:val="00470BAB"/>
    <w:rsid w:val="004727EB"/>
    <w:rsid w:val="00472C9D"/>
    <w:rsid w:val="00476F63"/>
    <w:rsid w:val="0048096A"/>
    <w:rsid w:val="00480EA6"/>
    <w:rsid w:val="00481373"/>
    <w:rsid w:val="00482F08"/>
    <w:rsid w:val="004834A8"/>
    <w:rsid w:val="004835AC"/>
    <w:rsid w:val="004838C2"/>
    <w:rsid w:val="00484AAD"/>
    <w:rsid w:val="00484C64"/>
    <w:rsid w:val="00486F51"/>
    <w:rsid w:val="004876B3"/>
    <w:rsid w:val="00487C4C"/>
    <w:rsid w:val="004913CC"/>
    <w:rsid w:val="00491983"/>
    <w:rsid w:val="00493515"/>
    <w:rsid w:val="0049575D"/>
    <w:rsid w:val="004A09DB"/>
    <w:rsid w:val="004A1623"/>
    <w:rsid w:val="004A297B"/>
    <w:rsid w:val="004A6503"/>
    <w:rsid w:val="004A6C42"/>
    <w:rsid w:val="004A7000"/>
    <w:rsid w:val="004A72A3"/>
    <w:rsid w:val="004B1D5C"/>
    <w:rsid w:val="004B46B8"/>
    <w:rsid w:val="004B47EB"/>
    <w:rsid w:val="004B5967"/>
    <w:rsid w:val="004B79C0"/>
    <w:rsid w:val="004C66C9"/>
    <w:rsid w:val="004D284B"/>
    <w:rsid w:val="004D2B5E"/>
    <w:rsid w:val="004D3169"/>
    <w:rsid w:val="004D4B5F"/>
    <w:rsid w:val="004D60C9"/>
    <w:rsid w:val="004D7348"/>
    <w:rsid w:val="004D756A"/>
    <w:rsid w:val="004E0DDC"/>
    <w:rsid w:val="004E10A3"/>
    <w:rsid w:val="004E55A6"/>
    <w:rsid w:val="004E6158"/>
    <w:rsid w:val="004E6DE2"/>
    <w:rsid w:val="004F1E90"/>
    <w:rsid w:val="004F31DE"/>
    <w:rsid w:val="004F3E97"/>
    <w:rsid w:val="004F3F0C"/>
    <w:rsid w:val="004F4B05"/>
    <w:rsid w:val="004F5056"/>
    <w:rsid w:val="004F59B7"/>
    <w:rsid w:val="004F5E48"/>
    <w:rsid w:val="004F616A"/>
    <w:rsid w:val="004F6496"/>
    <w:rsid w:val="004F6BC3"/>
    <w:rsid w:val="00500181"/>
    <w:rsid w:val="005010D7"/>
    <w:rsid w:val="00503B63"/>
    <w:rsid w:val="0050616B"/>
    <w:rsid w:val="00507B95"/>
    <w:rsid w:val="0051245E"/>
    <w:rsid w:val="005138EE"/>
    <w:rsid w:val="00515B6D"/>
    <w:rsid w:val="00517022"/>
    <w:rsid w:val="00517E90"/>
    <w:rsid w:val="005213E2"/>
    <w:rsid w:val="00527B90"/>
    <w:rsid w:val="00530946"/>
    <w:rsid w:val="00531502"/>
    <w:rsid w:val="005318FF"/>
    <w:rsid w:val="005326F0"/>
    <w:rsid w:val="005344E6"/>
    <w:rsid w:val="00534C50"/>
    <w:rsid w:val="00535961"/>
    <w:rsid w:val="00535EDA"/>
    <w:rsid w:val="0053630E"/>
    <w:rsid w:val="00536F76"/>
    <w:rsid w:val="00542F2D"/>
    <w:rsid w:val="0054600C"/>
    <w:rsid w:val="00546775"/>
    <w:rsid w:val="00547D60"/>
    <w:rsid w:val="00550265"/>
    <w:rsid w:val="005504FF"/>
    <w:rsid w:val="005519C9"/>
    <w:rsid w:val="00552AA0"/>
    <w:rsid w:val="00554C23"/>
    <w:rsid w:val="00556D4E"/>
    <w:rsid w:val="00561410"/>
    <w:rsid w:val="005649A9"/>
    <w:rsid w:val="00565319"/>
    <w:rsid w:val="00570DB9"/>
    <w:rsid w:val="00571006"/>
    <w:rsid w:val="00571F63"/>
    <w:rsid w:val="00572965"/>
    <w:rsid w:val="00572D31"/>
    <w:rsid w:val="0057441A"/>
    <w:rsid w:val="00575107"/>
    <w:rsid w:val="00577AA0"/>
    <w:rsid w:val="00580DA6"/>
    <w:rsid w:val="00580DBB"/>
    <w:rsid w:val="00581ABF"/>
    <w:rsid w:val="00583E56"/>
    <w:rsid w:val="00584212"/>
    <w:rsid w:val="005909EA"/>
    <w:rsid w:val="0059197B"/>
    <w:rsid w:val="00592098"/>
    <w:rsid w:val="00593A2F"/>
    <w:rsid w:val="00593B4A"/>
    <w:rsid w:val="00593E58"/>
    <w:rsid w:val="005A5927"/>
    <w:rsid w:val="005B1FF9"/>
    <w:rsid w:val="005B2406"/>
    <w:rsid w:val="005B36EE"/>
    <w:rsid w:val="005B466A"/>
    <w:rsid w:val="005B6447"/>
    <w:rsid w:val="005C1151"/>
    <w:rsid w:val="005C2C53"/>
    <w:rsid w:val="005C6E14"/>
    <w:rsid w:val="005D1150"/>
    <w:rsid w:val="005D166E"/>
    <w:rsid w:val="005D18B8"/>
    <w:rsid w:val="005D23DA"/>
    <w:rsid w:val="005D4660"/>
    <w:rsid w:val="005D7FBC"/>
    <w:rsid w:val="005E00E3"/>
    <w:rsid w:val="005E5B18"/>
    <w:rsid w:val="005E68D4"/>
    <w:rsid w:val="005E7202"/>
    <w:rsid w:val="005F1106"/>
    <w:rsid w:val="005F16CD"/>
    <w:rsid w:val="005F50E8"/>
    <w:rsid w:val="006019DB"/>
    <w:rsid w:val="0060329C"/>
    <w:rsid w:val="00605766"/>
    <w:rsid w:val="006070A0"/>
    <w:rsid w:val="006073F4"/>
    <w:rsid w:val="00607DC8"/>
    <w:rsid w:val="006108DC"/>
    <w:rsid w:val="006113B9"/>
    <w:rsid w:val="0061273E"/>
    <w:rsid w:val="006216FF"/>
    <w:rsid w:val="00621E65"/>
    <w:rsid w:val="00622514"/>
    <w:rsid w:val="0062267D"/>
    <w:rsid w:val="006231D3"/>
    <w:rsid w:val="00627065"/>
    <w:rsid w:val="0062761B"/>
    <w:rsid w:val="006304DC"/>
    <w:rsid w:val="006317E9"/>
    <w:rsid w:val="00632739"/>
    <w:rsid w:val="00633120"/>
    <w:rsid w:val="0063486F"/>
    <w:rsid w:val="00637085"/>
    <w:rsid w:val="0064076D"/>
    <w:rsid w:val="0064198B"/>
    <w:rsid w:val="00643C01"/>
    <w:rsid w:val="00643F00"/>
    <w:rsid w:val="0064645F"/>
    <w:rsid w:val="00652D3F"/>
    <w:rsid w:val="00653856"/>
    <w:rsid w:val="00653ABD"/>
    <w:rsid w:val="00653CFF"/>
    <w:rsid w:val="00655EAF"/>
    <w:rsid w:val="006564EA"/>
    <w:rsid w:val="00657136"/>
    <w:rsid w:val="00657ECB"/>
    <w:rsid w:val="00660B8F"/>
    <w:rsid w:val="00671367"/>
    <w:rsid w:val="00671FA7"/>
    <w:rsid w:val="006744EA"/>
    <w:rsid w:val="006809AF"/>
    <w:rsid w:val="0068193B"/>
    <w:rsid w:val="00682A93"/>
    <w:rsid w:val="00682AE7"/>
    <w:rsid w:val="00683A2E"/>
    <w:rsid w:val="0068795C"/>
    <w:rsid w:val="006937D4"/>
    <w:rsid w:val="00697AE9"/>
    <w:rsid w:val="006A0D3E"/>
    <w:rsid w:val="006A3A4F"/>
    <w:rsid w:val="006A5A3C"/>
    <w:rsid w:val="006A756B"/>
    <w:rsid w:val="006A7950"/>
    <w:rsid w:val="006A7C00"/>
    <w:rsid w:val="006B09A0"/>
    <w:rsid w:val="006B1142"/>
    <w:rsid w:val="006B5179"/>
    <w:rsid w:val="006B60BB"/>
    <w:rsid w:val="006C2A91"/>
    <w:rsid w:val="006C391D"/>
    <w:rsid w:val="006C4CFF"/>
    <w:rsid w:val="006C59BB"/>
    <w:rsid w:val="006C5EE7"/>
    <w:rsid w:val="006C6144"/>
    <w:rsid w:val="006C6FE5"/>
    <w:rsid w:val="006D199E"/>
    <w:rsid w:val="006D2503"/>
    <w:rsid w:val="006D3085"/>
    <w:rsid w:val="006D3A98"/>
    <w:rsid w:val="006D5775"/>
    <w:rsid w:val="006D5BE4"/>
    <w:rsid w:val="006D64E4"/>
    <w:rsid w:val="006D6AB2"/>
    <w:rsid w:val="006E0C1F"/>
    <w:rsid w:val="006E108B"/>
    <w:rsid w:val="006E4523"/>
    <w:rsid w:val="006E7832"/>
    <w:rsid w:val="006F0641"/>
    <w:rsid w:val="006F10E7"/>
    <w:rsid w:val="006F25B5"/>
    <w:rsid w:val="006F4672"/>
    <w:rsid w:val="006F6D24"/>
    <w:rsid w:val="00700CE0"/>
    <w:rsid w:val="007014CC"/>
    <w:rsid w:val="00702661"/>
    <w:rsid w:val="007064DE"/>
    <w:rsid w:val="0070671E"/>
    <w:rsid w:val="00706CED"/>
    <w:rsid w:val="007104EE"/>
    <w:rsid w:val="00710E0A"/>
    <w:rsid w:val="00710E79"/>
    <w:rsid w:val="00710EA7"/>
    <w:rsid w:val="0071418F"/>
    <w:rsid w:val="007151C6"/>
    <w:rsid w:val="00715419"/>
    <w:rsid w:val="00715E55"/>
    <w:rsid w:val="00717644"/>
    <w:rsid w:val="00722033"/>
    <w:rsid w:val="00722645"/>
    <w:rsid w:val="007242D4"/>
    <w:rsid w:val="00724436"/>
    <w:rsid w:val="00724471"/>
    <w:rsid w:val="00726B9E"/>
    <w:rsid w:val="00726DD2"/>
    <w:rsid w:val="0073057E"/>
    <w:rsid w:val="00731680"/>
    <w:rsid w:val="007333D3"/>
    <w:rsid w:val="0073545B"/>
    <w:rsid w:val="007360A3"/>
    <w:rsid w:val="0073639F"/>
    <w:rsid w:val="007376CE"/>
    <w:rsid w:val="00740F06"/>
    <w:rsid w:val="00741500"/>
    <w:rsid w:val="00742189"/>
    <w:rsid w:val="00742667"/>
    <w:rsid w:val="00744159"/>
    <w:rsid w:val="00744804"/>
    <w:rsid w:val="007473BF"/>
    <w:rsid w:val="007500F7"/>
    <w:rsid w:val="00750B51"/>
    <w:rsid w:val="0075625A"/>
    <w:rsid w:val="00756B3E"/>
    <w:rsid w:val="007577DD"/>
    <w:rsid w:val="007612E4"/>
    <w:rsid w:val="00761B01"/>
    <w:rsid w:val="00761E72"/>
    <w:rsid w:val="007650A1"/>
    <w:rsid w:val="007672CC"/>
    <w:rsid w:val="007708D9"/>
    <w:rsid w:val="0077221C"/>
    <w:rsid w:val="0077257B"/>
    <w:rsid w:val="0077330E"/>
    <w:rsid w:val="00774EBA"/>
    <w:rsid w:val="0077795A"/>
    <w:rsid w:val="00781477"/>
    <w:rsid w:val="00782468"/>
    <w:rsid w:val="0078252C"/>
    <w:rsid w:val="00783B63"/>
    <w:rsid w:val="0078456F"/>
    <w:rsid w:val="007864E0"/>
    <w:rsid w:val="007872F0"/>
    <w:rsid w:val="007904A7"/>
    <w:rsid w:val="0079107D"/>
    <w:rsid w:val="0079135E"/>
    <w:rsid w:val="00792048"/>
    <w:rsid w:val="007928BC"/>
    <w:rsid w:val="00794307"/>
    <w:rsid w:val="007970EC"/>
    <w:rsid w:val="007A05A2"/>
    <w:rsid w:val="007A09C6"/>
    <w:rsid w:val="007A0F67"/>
    <w:rsid w:val="007A21FF"/>
    <w:rsid w:val="007A28DA"/>
    <w:rsid w:val="007A4084"/>
    <w:rsid w:val="007A463A"/>
    <w:rsid w:val="007A493D"/>
    <w:rsid w:val="007A5AC2"/>
    <w:rsid w:val="007B13BC"/>
    <w:rsid w:val="007B2ADF"/>
    <w:rsid w:val="007B3144"/>
    <w:rsid w:val="007B4B8E"/>
    <w:rsid w:val="007B5920"/>
    <w:rsid w:val="007B6605"/>
    <w:rsid w:val="007B6769"/>
    <w:rsid w:val="007B7298"/>
    <w:rsid w:val="007B7A33"/>
    <w:rsid w:val="007C0455"/>
    <w:rsid w:val="007C046E"/>
    <w:rsid w:val="007C510E"/>
    <w:rsid w:val="007C51A3"/>
    <w:rsid w:val="007C5226"/>
    <w:rsid w:val="007C5ECA"/>
    <w:rsid w:val="007C6898"/>
    <w:rsid w:val="007C68AB"/>
    <w:rsid w:val="007C6A67"/>
    <w:rsid w:val="007C7EA2"/>
    <w:rsid w:val="007D0E75"/>
    <w:rsid w:val="007D38B4"/>
    <w:rsid w:val="007E08F3"/>
    <w:rsid w:val="007E0A12"/>
    <w:rsid w:val="007E17F1"/>
    <w:rsid w:val="007E2F30"/>
    <w:rsid w:val="007E325B"/>
    <w:rsid w:val="007E337B"/>
    <w:rsid w:val="007E5229"/>
    <w:rsid w:val="007E611D"/>
    <w:rsid w:val="007E67E1"/>
    <w:rsid w:val="007E76F0"/>
    <w:rsid w:val="007F01F5"/>
    <w:rsid w:val="007F09DC"/>
    <w:rsid w:val="007F16FC"/>
    <w:rsid w:val="007F39BE"/>
    <w:rsid w:val="0080064D"/>
    <w:rsid w:val="0080103E"/>
    <w:rsid w:val="008011D6"/>
    <w:rsid w:val="00801BA8"/>
    <w:rsid w:val="00801FD4"/>
    <w:rsid w:val="0080256E"/>
    <w:rsid w:val="0080321B"/>
    <w:rsid w:val="00803C5A"/>
    <w:rsid w:val="008048A5"/>
    <w:rsid w:val="00805417"/>
    <w:rsid w:val="00806702"/>
    <w:rsid w:val="00811BCA"/>
    <w:rsid w:val="0081347C"/>
    <w:rsid w:val="00814587"/>
    <w:rsid w:val="00814592"/>
    <w:rsid w:val="00815CDD"/>
    <w:rsid w:val="0081678C"/>
    <w:rsid w:val="0082135C"/>
    <w:rsid w:val="008225C4"/>
    <w:rsid w:val="0082373B"/>
    <w:rsid w:val="00825DA4"/>
    <w:rsid w:val="0082610A"/>
    <w:rsid w:val="00826162"/>
    <w:rsid w:val="00826C01"/>
    <w:rsid w:val="008273AA"/>
    <w:rsid w:val="0082747D"/>
    <w:rsid w:val="0082781C"/>
    <w:rsid w:val="00830DB4"/>
    <w:rsid w:val="00832C48"/>
    <w:rsid w:val="00832E66"/>
    <w:rsid w:val="00834743"/>
    <w:rsid w:val="008347E1"/>
    <w:rsid w:val="00835573"/>
    <w:rsid w:val="00835B30"/>
    <w:rsid w:val="00836726"/>
    <w:rsid w:val="00841DC6"/>
    <w:rsid w:val="008434F5"/>
    <w:rsid w:val="00844CF8"/>
    <w:rsid w:val="008454D8"/>
    <w:rsid w:val="0084625A"/>
    <w:rsid w:val="008475FD"/>
    <w:rsid w:val="008507B1"/>
    <w:rsid w:val="00850DAC"/>
    <w:rsid w:val="00853160"/>
    <w:rsid w:val="00853364"/>
    <w:rsid w:val="00853735"/>
    <w:rsid w:val="00853CFD"/>
    <w:rsid w:val="0085548E"/>
    <w:rsid w:val="0085571D"/>
    <w:rsid w:val="00855794"/>
    <w:rsid w:val="00856980"/>
    <w:rsid w:val="00865C7E"/>
    <w:rsid w:val="008666EA"/>
    <w:rsid w:val="008667A0"/>
    <w:rsid w:val="00867259"/>
    <w:rsid w:val="008713E1"/>
    <w:rsid w:val="0087324E"/>
    <w:rsid w:val="00873E8A"/>
    <w:rsid w:val="00874221"/>
    <w:rsid w:val="008744C6"/>
    <w:rsid w:val="00874C00"/>
    <w:rsid w:val="0087555A"/>
    <w:rsid w:val="008758A8"/>
    <w:rsid w:val="0087614A"/>
    <w:rsid w:val="00876325"/>
    <w:rsid w:val="00876755"/>
    <w:rsid w:val="00881A20"/>
    <w:rsid w:val="0088416A"/>
    <w:rsid w:val="008866FE"/>
    <w:rsid w:val="0088731F"/>
    <w:rsid w:val="00887EDF"/>
    <w:rsid w:val="008907B0"/>
    <w:rsid w:val="00891737"/>
    <w:rsid w:val="008937A9"/>
    <w:rsid w:val="008941F2"/>
    <w:rsid w:val="00896FEC"/>
    <w:rsid w:val="008A0721"/>
    <w:rsid w:val="008A0A71"/>
    <w:rsid w:val="008A427D"/>
    <w:rsid w:val="008A5B6A"/>
    <w:rsid w:val="008A5E0B"/>
    <w:rsid w:val="008A714D"/>
    <w:rsid w:val="008B54EB"/>
    <w:rsid w:val="008B7255"/>
    <w:rsid w:val="008C3CF9"/>
    <w:rsid w:val="008C41E6"/>
    <w:rsid w:val="008C4E2A"/>
    <w:rsid w:val="008D06FD"/>
    <w:rsid w:val="008D1E9F"/>
    <w:rsid w:val="008D26F4"/>
    <w:rsid w:val="008D5694"/>
    <w:rsid w:val="008D7938"/>
    <w:rsid w:val="008E0239"/>
    <w:rsid w:val="008E030A"/>
    <w:rsid w:val="008E06C9"/>
    <w:rsid w:val="008E0C2A"/>
    <w:rsid w:val="008E17EF"/>
    <w:rsid w:val="008E3132"/>
    <w:rsid w:val="008E4C4C"/>
    <w:rsid w:val="008F02CC"/>
    <w:rsid w:val="008F0F19"/>
    <w:rsid w:val="008F4653"/>
    <w:rsid w:val="008F5093"/>
    <w:rsid w:val="008F5468"/>
    <w:rsid w:val="008F6BBE"/>
    <w:rsid w:val="00900B07"/>
    <w:rsid w:val="009029E3"/>
    <w:rsid w:val="00905AAF"/>
    <w:rsid w:val="009111EF"/>
    <w:rsid w:val="00911925"/>
    <w:rsid w:val="00911AE8"/>
    <w:rsid w:val="0091278E"/>
    <w:rsid w:val="00913910"/>
    <w:rsid w:val="00914963"/>
    <w:rsid w:val="00917B85"/>
    <w:rsid w:val="00917F4D"/>
    <w:rsid w:val="0092503B"/>
    <w:rsid w:val="009253E0"/>
    <w:rsid w:val="00930744"/>
    <w:rsid w:val="009345B1"/>
    <w:rsid w:val="00935CEE"/>
    <w:rsid w:val="009372A7"/>
    <w:rsid w:val="00940628"/>
    <w:rsid w:val="00940F00"/>
    <w:rsid w:val="00944493"/>
    <w:rsid w:val="00944CE0"/>
    <w:rsid w:val="0094640B"/>
    <w:rsid w:val="00947EB0"/>
    <w:rsid w:val="0095400D"/>
    <w:rsid w:val="00955905"/>
    <w:rsid w:val="00955D00"/>
    <w:rsid w:val="00956F1D"/>
    <w:rsid w:val="00960701"/>
    <w:rsid w:val="00960BD2"/>
    <w:rsid w:val="0096311C"/>
    <w:rsid w:val="00964938"/>
    <w:rsid w:val="009661A1"/>
    <w:rsid w:val="0096786F"/>
    <w:rsid w:val="00972AE1"/>
    <w:rsid w:val="00972BC7"/>
    <w:rsid w:val="00974547"/>
    <w:rsid w:val="00974FBE"/>
    <w:rsid w:val="0097594D"/>
    <w:rsid w:val="00976B9F"/>
    <w:rsid w:val="0098009E"/>
    <w:rsid w:val="00982803"/>
    <w:rsid w:val="00983597"/>
    <w:rsid w:val="009835AE"/>
    <w:rsid w:val="00984505"/>
    <w:rsid w:val="00984645"/>
    <w:rsid w:val="00985B77"/>
    <w:rsid w:val="0098600F"/>
    <w:rsid w:val="00986288"/>
    <w:rsid w:val="009870B5"/>
    <w:rsid w:val="009871B6"/>
    <w:rsid w:val="009873C5"/>
    <w:rsid w:val="009911CA"/>
    <w:rsid w:val="00991FA3"/>
    <w:rsid w:val="009927E5"/>
    <w:rsid w:val="00995467"/>
    <w:rsid w:val="0099640B"/>
    <w:rsid w:val="00997416"/>
    <w:rsid w:val="009A0D4D"/>
    <w:rsid w:val="009A253C"/>
    <w:rsid w:val="009A3767"/>
    <w:rsid w:val="009A484B"/>
    <w:rsid w:val="009A670A"/>
    <w:rsid w:val="009A6E40"/>
    <w:rsid w:val="009A712B"/>
    <w:rsid w:val="009B2884"/>
    <w:rsid w:val="009B2D7D"/>
    <w:rsid w:val="009B3521"/>
    <w:rsid w:val="009B4574"/>
    <w:rsid w:val="009B5566"/>
    <w:rsid w:val="009B563C"/>
    <w:rsid w:val="009B5FF3"/>
    <w:rsid w:val="009B7D3F"/>
    <w:rsid w:val="009C0E27"/>
    <w:rsid w:val="009C1C69"/>
    <w:rsid w:val="009C3F80"/>
    <w:rsid w:val="009C5EA6"/>
    <w:rsid w:val="009C6D9B"/>
    <w:rsid w:val="009C70A6"/>
    <w:rsid w:val="009D120E"/>
    <w:rsid w:val="009D6BB0"/>
    <w:rsid w:val="009E057E"/>
    <w:rsid w:val="009E25EC"/>
    <w:rsid w:val="009E2F93"/>
    <w:rsid w:val="009E340B"/>
    <w:rsid w:val="009E3503"/>
    <w:rsid w:val="009E3690"/>
    <w:rsid w:val="009E415F"/>
    <w:rsid w:val="009E4420"/>
    <w:rsid w:val="009E45D5"/>
    <w:rsid w:val="009E4996"/>
    <w:rsid w:val="009E668E"/>
    <w:rsid w:val="009E6E20"/>
    <w:rsid w:val="009E6E5B"/>
    <w:rsid w:val="009E7AA0"/>
    <w:rsid w:val="009F0184"/>
    <w:rsid w:val="009F147C"/>
    <w:rsid w:val="009F347C"/>
    <w:rsid w:val="009F4675"/>
    <w:rsid w:val="00A00C8C"/>
    <w:rsid w:val="00A01216"/>
    <w:rsid w:val="00A02019"/>
    <w:rsid w:val="00A02FE0"/>
    <w:rsid w:val="00A033A9"/>
    <w:rsid w:val="00A108A3"/>
    <w:rsid w:val="00A114E9"/>
    <w:rsid w:val="00A13A24"/>
    <w:rsid w:val="00A14001"/>
    <w:rsid w:val="00A1617F"/>
    <w:rsid w:val="00A16422"/>
    <w:rsid w:val="00A16D14"/>
    <w:rsid w:val="00A201EC"/>
    <w:rsid w:val="00A2092B"/>
    <w:rsid w:val="00A21843"/>
    <w:rsid w:val="00A24F59"/>
    <w:rsid w:val="00A30019"/>
    <w:rsid w:val="00A3009C"/>
    <w:rsid w:val="00A302A2"/>
    <w:rsid w:val="00A30900"/>
    <w:rsid w:val="00A30F79"/>
    <w:rsid w:val="00A31C04"/>
    <w:rsid w:val="00A3437B"/>
    <w:rsid w:val="00A35FBB"/>
    <w:rsid w:val="00A35FDB"/>
    <w:rsid w:val="00A3700D"/>
    <w:rsid w:val="00A40E74"/>
    <w:rsid w:val="00A4523F"/>
    <w:rsid w:val="00A46115"/>
    <w:rsid w:val="00A47782"/>
    <w:rsid w:val="00A477F0"/>
    <w:rsid w:val="00A5127D"/>
    <w:rsid w:val="00A542C8"/>
    <w:rsid w:val="00A550C4"/>
    <w:rsid w:val="00A55F22"/>
    <w:rsid w:val="00A60E40"/>
    <w:rsid w:val="00A6126F"/>
    <w:rsid w:val="00A62B0B"/>
    <w:rsid w:val="00A634B2"/>
    <w:rsid w:val="00A63E5B"/>
    <w:rsid w:val="00A675CB"/>
    <w:rsid w:val="00A70D39"/>
    <w:rsid w:val="00A7239B"/>
    <w:rsid w:val="00A7261C"/>
    <w:rsid w:val="00A7268F"/>
    <w:rsid w:val="00A72912"/>
    <w:rsid w:val="00A74062"/>
    <w:rsid w:val="00A75FA4"/>
    <w:rsid w:val="00A81010"/>
    <w:rsid w:val="00A81975"/>
    <w:rsid w:val="00A81CE2"/>
    <w:rsid w:val="00A82249"/>
    <w:rsid w:val="00A85452"/>
    <w:rsid w:val="00A85714"/>
    <w:rsid w:val="00A85F3E"/>
    <w:rsid w:val="00A86557"/>
    <w:rsid w:val="00A86FA8"/>
    <w:rsid w:val="00A94703"/>
    <w:rsid w:val="00A950F5"/>
    <w:rsid w:val="00A961C9"/>
    <w:rsid w:val="00A96832"/>
    <w:rsid w:val="00AA502C"/>
    <w:rsid w:val="00AA5112"/>
    <w:rsid w:val="00AA5800"/>
    <w:rsid w:val="00AA69F8"/>
    <w:rsid w:val="00AB3058"/>
    <w:rsid w:val="00AB3CA4"/>
    <w:rsid w:val="00AB7603"/>
    <w:rsid w:val="00AB7982"/>
    <w:rsid w:val="00AC11D2"/>
    <w:rsid w:val="00AC1ED4"/>
    <w:rsid w:val="00AC44E7"/>
    <w:rsid w:val="00AC4AA3"/>
    <w:rsid w:val="00AD3162"/>
    <w:rsid w:val="00AD7796"/>
    <w:rsid w:val="00AE0250"/>
    <w:rsid w:val="00AE5DC5"/>
    <w:rsid w:val="00AE6065"/>
    <w:rsid w:val="00AF5E57"/>
    <w:rsid w:val="00AF672E"/>
    <w:rsid w:val="00AF7560"/>
    <w:rsid w:val="00B00F0E"/>
    <w:rsid w:val="00B02A59"/>
    <w:rsid w:val="00B03407"/>
    <w:rsid w:val="00B0395E"/>
    <w:rsid w:val="00B07A0B"/>
    <w:rsid w:val="00B11394"/>
    <w:rsid w:val="00B11899"/>
    <w:rsid w:val="00B127E6"/>
    <w:rsid w:val="00B12DB7"/>
    <w:rsid w:val="00B13494"/>
    <w:rsid w:val="00B1499B"/>
    <w:rsid w:val="00B153B1"/>
    <w:rsid w:val="00B161CD"/>
    <w:rsid w:val="00B177D0"/>
    <w:rsid w:val="00B20FBE"/>
    <w:rsid w:val="00B238D8"/>
    <w:rsid w:val="00B23949"/>
    <w:rsid w:val="00B24812"/>
    <w:rsid w:val="00B255A0"/>
    <w:rsid w:val="00B2585A"/>
    <w:rsid w:val="00B26DA4"/>
    <w:rsid w:val="00B271AE"/>
    <w:rsid w:val="00B27B3F"/>
    <w:rsid w:val="00B31310"/>
    <w:rsid w:val="00B319DB"/>
    <w:rsid w:val="00B31BFE"/>
    <w:rsid w:val="00B32ECA"/>
    <w:rsid w:val="00B33BA3"/>
    <w:rsid w:val="00B3413B"/>
    <w:rsid w:val="00B34280"/>
    <w:rsid w:val="00B35C67"/>
    <w:rsid w:val="00B36E16"/>
    <w:rsid w:val="00B37CB7"/>
    <w:rsid w:val="00B40A34"/>
    <w:rsid w:val="00B40C7B"/>
    <w:rsid w:val="00B43192"/>
    <w:rsid w:val="00B44CE7"/>
    <w:rsid w:val="00B44DF0"/>
    <w:rsid w:val="00B45A23"/>
    <w:rsid w:val="00B463FB"/>
    <w:rsid w:val="00B4684E"/>
    <w:rsid w:val="00B46E00"/>
    <w:rsid w:val="00B4710D"/>
    <w:rsid w:val="00B476DF"/>
    <w:rsid w:val="00B5036F"/>
    <w:rsid w:val="00B517A8"/>
    <w:rsid w:val="00B53499"/>
    <w:rsid w:val="00B5366D"/>
    <w:rsid w:val="00B539FE"/>
    <w:rsid w:val="00B563B6"/>
    <w:rsid w:val="00B61E5A"/>
    <w:rsid w:val="00B65AA0"/>
    <w:rsid w:val="00B7043E"/>
    <w:rsid w:val="00B72163"/>
    <w:rsid w:val="00B724F4"/>
    <w:rsid w:val="00B72701"/>
    <w:rsid w:val="00B74B47"/>
    <w:rsid w:val="00B74F8A"/>
    <w:rsid w:val="00B75273"/>
    <w:rsid w:val="00B7609C"/>
    <w:rsid w:val="00B765AF"/>
    <w:rsid w:val="00B76D69"/>
    <w:rsid w:val="00B803B4"/>
    <w:rsid w:val="00B804F5"/>
    <w:rsid w:val="00B807DA"/>
    <w:rsid w:val="00B8152A"/>
    <w:rsid w:val="00B815B0"/>
    <w:rsid w:val="00B81B21"/>
    <w:rsid w:val="00B8334A"/>
    <w:rsid w:val="00B866DE"/>
    <w:rsid w:val="00B86A9E"/>
    <w:rsid w:val="00B870AA"/>
    <w:rsid w:val="00B901B3"/>
    <w:rsid w:val="00B91963"/>
    <w:rsid w:val="00B92322"/>
    <w:rsid w:val="00B948FC"/>
    <w:rsid w:val="00B97B84"/>
    <w:rsid w:val="00BA178D"/>
    <w:rsid w:val="00BA325A"/>
    <w:rsid w:val="00BA4DC9"/>
    <w:rsid w:val="00BA543E"/>
    <w:rsid w:val="00BA5DAD"/>
    <w:rsid w:val="00BA6E77"/>
    <w:rsid w:val="00BB4611"/>
    <w:rsid w:val="00BB55F5"/>
    <w:rsid w:val="00BB63F3"/>
    <w:rsid w:val="00BB68F7"/>
    <w:rsid w:val="00BB7F04"/>
    <w:rsid w:val="00BC10FD"/>
    <w:rsid w:val="00BC15A0"/>
    <w:rsid w:val="00BC4FEC"/>
    <w:rsid w:val="00BC7299"/>
    <w:rsid w:val="00BC798D"/>
    <w:rsid w:val="00BC7F24"/>
    <w:rsid w:val="00BD07E6"/>
    <w:rsid w:val="00BD176A"/>
    <w:rsid w:val="00BD3896"/>
    <w:rsid w:val="00BD395E"/>
    <w:rsid w:val="00BD6CCF"/>
    <w:rsid w:val="00BD7FD3"/>
    <w:rsid w:val="00BE007C"/>
    <w:rsid w:val="00BE1F8A"/>
    <w:rsid w:val="00BE2CC0"/>
    <w:rsid w:val="00BE3060"/>
    <w:rsid w:val="00BE48DA"/>
    <w:rsid w:val="00BE5929"/>
    <w:rsid w:val="00BE6116"/>
    <w:rsid w:val="00BE6794"/>
    <w:rsid w:val="00BF087E"/>
    <w:rsid w:val="00BF402A"/>
    <w:rsid w:val="00BF7541"/>
    <w:rsid w:val="00C003B1"/>
    <w:rsid w:val="00C0120E"/>
    <w:rsid w:val="00C036AB"/>
    <w:rsid w:val="00C04F0C"/>
    <w:rsid w:val="00C05DC4"/>
    <w:rsid w:val="00C0793E"/>
    <w:rsid w:val="00C110D1"/>
    <w:rsid w:val="00C12E6D"/>
    <w:rsid w:val="00C15E10"/>
    <w:rsid w:val="00C232CD"/>
    <w:rsid w:val="00C238D2"/>
    <w:rsid w:val="00C249DC"/>
    <w:rsid w:val="00C26291"/>
    <w:rsid w:val="00C26F3E"/>
    <w:rsid w:val="00C30425"/>
    <w:rsid w:val="00C304F3"/>
    <w:rsid w:val="00C30AC9"/>
    <w:rsid w:val="00C30D83"/>
    <w:rsid w:val="00C33B08"/>
    <w:rsid w:val="00C353D7"/>
    <w:rsid w:val="00C3670E"/>
    <w:rsid w:val="00C407FB"/>
    <w:rsid w:val="00C40982"/>
    <w:rsid w:val="00C4454A"/>
    <w:rsid w:val="00C47F13"/>
    <w:rsid w:val="00C507C8"/>
    <w:rsid w:val="00C50B2D"/>
    <w:rsid w:val="00C51067"/>
    <w:rsid w:val="00C5244D"/>
    <w:rsid w:val="00C561F5"/>
    <w:rsid w:val="00C56B9B"/>
    <w:rsid w:val="00C6093C"/>
    <w:rsid w:val="00C622F8"/>
    <w:rsid w:val="00C6259D"/>
    <w:rsid w:val="00C63EFE"/>
    <w:rsid w:val="00C65204"/>
    <w:rsid w:val="00C708ED"/>
    <w:rsid w:val="00C70CDD"/>
    <w:rsid w:val="00C730E3"/>
    <w:rsid w:val="00C738C6"/>
    <w:rsid w:val="00C7501A"/>
    <w:rsid w:val="00C75609"/>
    <w:rsid w:val="00C75699"/>
    <w:rsid w:val="00C76AF3"/>
    <w:rsid w:val="00C76C70"/>
    <w:rsid w:val="00C830D1"/>
    <w:rsid w:val="00C8708A"/>
    <w:rsid w:val="00C8725B"/>
    <w:rsid w:val="00C9064A"/>
    <w:rsid w:val="00C915A9"/>
    <w:rsid w:val="00C91B7E"/>
    <w:rsid w:val="00C93DB7"/>
    <w:rsid w:val="00C97247"/>
    <w:rsid w:val="00CA00A4"/>
    <w:rsid w:val="00CA1EBB"/>
    <w:rsid w:val="00CA31E6"/>
    <w:rsid w:val="00CA4056"/>
    <w:rsid w:val="00CA4638"/>
    <w:rsid w:val="00CA51EF"/>
    <w:rsid w:val="00CA5F51"/>
    <w:rsid w:val="00CA6974"/>
    <w:rsid w:val="00CB03C9"/>
    <w:rsid w:val="00CB09AF"/>
    <w:rsid w:val="00CB243E"/>
    <w:rsid w:val="00CB5EA2"/>
    <w:rsid w:val="00CB7F19"/>
    <w:rsid w:val="00CC0030"/>
    <w:rsid w:val="00CC23F6"/>
    <w:rsid w:val="00CC27BC"/>
    <w:rsid w:val="00CC2CB2"/>
    <w:rsid w:val="00CC2D88"/>
    <w:rsid w:val="00CC3B0E"/>
    <w:rsid w:val="00CC405B"/>
    <w:rsid w:val="00CC681F"/>
    <w:rsid w:val="00CC6840"/>
    <w:rsid w:val="00CC7155"/>
    <w:rsid w:val="00CD02FE"/>
    <w:rsid w:val="00CD1097"/>
    <w:rsid w:val="00CD1B41"/>
    <w:rsid w:val="00CD211E"/>
    <w:rsid w:val="00CD4B44"/>
    <w:rsid w:val="00CD50A9"/>
    <w:rsid w:val="00CD61D0"/>
    <w:rsid w:val="00CD68BB"/>
    <w:rsid w:val="00CD780E"/>
    <w:rsid w:val="00CE0D5F"/>
    <w:rsid w:val="00CE3C9E"/>
    <w:rsid w:val="00CE6580"/>
    <w:rsid w:val="00CE7990"/>
    <w:rsid w:val="00CE7D3D"/>
    <w:rsid w:val="00CF0FE9"/>
    <w:rsid w:val="00CF1704"/>
    <w:rsid w:val="00CF565E"/>
    <w:rsid w:val="00CF667A"/>
    <w:rsid w:val="00CF7BD3"/>
    <w:rsid w:val="00D002BA"/>
    <w:rsid w:val="00D036BC"/>
    <w:rsid w:val="00D04881"/>
    <w:rsid w:val="00D05A87"/>
    <w:rsid w:val="00D06749"/>
    <w:rsid w:val="00D07748"/>
    <w:rsid w:val="00D1045A"/>
    <w:rsid w:val="00D107C2"/>
    <w:rsid w:val="00D1146E"/>
    <w:rsid w:val="00D11DEF"/>
    <w:rsid w:val="00D14126"/>
    <w:rsid w:val="00D14FBA"/>
    <w:rsid w:val="00D15C17"/>
    <w:rsid w:val="00D20A24"/>
    <w:rsid w:val="00D21097"/>
    <w:rsid w:val="00D22053"/>
    <w:rsid w:val="00D23A28"/>
    <w:rsid w:val="00D2424A"/>
    <w:rsid w:val="00D24532"/>
    <w:rsid w:val="00D27AC1"/>
    <w:rsid w:val="00D3193E"/>
    <w:rsid w:val="00D32074"/>
    <w:rsid w:val="00D32E05"/>
    <w:rsid w:val="00D34F2B"/>
    <w:rsid w:val="00D40AF2"/>
    <w:rsid w:val="00D40B6E"/>
    <w:rsid w:val="00D412E8"/>
    <w:rsid w:val="00D41B47"/>
    <w:rsid w:val="00D44946"/>
    <w:rsid w:val="00D45592"/>
    <w:rsid w:val="00D45D80"/>
    <w:rsid w:val="00D50A46"/>
    <w:rsid w:val="00D51B2E"/>
    <w:rsid w:val="00D53028"/>
    <w:rsid w:val="00D5477F"/>
    <w:rsid w:val="00D554EC"/>
    <w:rsid w:val="00D5651D"/>
    <w:rsid w:val="00D65EBE"/>
    <w:rsid w:val="00D66777"/>
    <w:rsid w:val="00D66BC9"/>
    <w:rsid w:val="00D66F86"/>
    <w:rsid w:val="00D670C4"/>
    <w:rsid w:val="00D74798"/>
    <w:rsid w:val="00D75C96"/>
    <w:rsid w:val="00D81537"/>
    <w:rsid w:val="00D8187F"/>
    <w:rsid w:val="00D82490"/>
    <w:rsid w:val="00D842D8"/>
    <w:rsid w:val="00D87198"/>
    <w:rsid w:val="00D87A9E"/>
    <w:rsid w:val="00D9131C"/>
    <w:rsid w:val="00D916F6"/>
    <w:rsid w:val="00D93CDC"/>
    <w:rsid w:val="00D97338"/>
    <w:rsid w:val="00DA1A90"/>
    <w:rsid w:val="00DB026C"/>
    <w:rsid w:val="00DB0AAE"/>
    <w:rsid w:val="00DB1664"/>
    <w:rsid w:val="00DC2B6B"/>
    <w:rsid w:val="00DC2EA1"/>
    <w:rsid w:val="00DC3FA6"/>
    <w:rsid w:val="00DC41F3"/>
    <w:rsid w:val="00DC4389"/>
    <w:rsid w:val="00DC47E1"/>
    <w:rsid w:val="00DC552D"/>
    <w:rsid w:val="00DC5F2B"/>
    <w:rsid w:val="00DD47E4"/>
    <w:rsid w:val="00DD5267"/>
    <w:rsid w:val="00DD6A2E"/>
    <w:rsid w:val="00DE0528"/>
    <w:rsid w:val="00DE17BF"/>
    <w:rsid w:val="00DE28E1"/>
    <w:rsid w:val="00DE2E3E"/>
    <w:rsid w:val="00DE3125"/>
    <w:rsid w:val="00DF01A2"/>
    <w:rsid w:val="00DF02DB"/>
    <w:rsid w:val="00DF05EF"/>
    <w:rsid w:val="00DF0CA4"/>
    <w:rsid w:val="00DF193D"/>
    <w:rsid w:val="00DF26D3"/>
    <w:rsid w:val="00DF508F"/>
    <w:rsid w:val="00DF5BDE"/>
    <w:rsid w:val="00DF780E"/>
    <w:rsid w:val="00DF7BEA"/>
    <w:rsid w:val="00E00AAB"/>
    <w:rsid w:val="00E012A9"/>
    <w:rsid w:val="00E022D5"/>
    <w:rsid w:val="00E0356A"/>
    <w:rsid w:val="00E0713D"/>
    <w:rsid w:val="00E073D0"/>
    <w:rsid w:val="00E100D0"/>
    <w:rsid w:val="00E11348"/>
    <w:rsid w:val="00E11989"/>
    <w:rsid w:val="00E161CF"/>
    <w:rsid w:val="00E17967"/>
    <w:rsid w:val="00E218B8"/>
    <w:rsid w:val="00E258ED"/>
    <w:rsid w:val="00E2641A"/>
    <w:rsid w:val="00E306FB"/>
    <w:rsid w:val="00E3147D"/>
    <w:rsid w:val="00E32717"/>
    <w:rsid w:val="00E32D97"/>
    <w:rsid w:val="00E333BD"/>
    <w:rsid w:val="00E357D1"/>
    <w:rsid w:val="00E35BF0"/>
    <w:rsid w:val="00E3690D"/>
    <w:rsid w:val="00E4402F"/>
    <w:rsid w:val="00E443D2"/>
    <w:rsid w:val="00E51B0E"/>
    <w:rsid w:val="00E52DEA"/>
    <w:rsid w:val="00E52EC0"/>
    <w:rsid w:val="00E5339E"/>
    <w:rsid w:val="00E60597"/>
    <w:rsid w:val="00E624CF"/>
    <w:rsid w:val="00E62529"/>
    <w:rsid w:val="00E62731"/>
    <w:rsid w:val="00E636B7"/>
    <w:rsid w:val="00E70CA7"/>
    <w:rsid w:val="00E721F3"/>
    <w:rsid w:val="00E7321B"/>
    <w:rsid w:val="00E73DF6"/>
    <w:rsid w:val="00E7489A"/>
    <w:rsid w:val="00E77769"/>
    <w:rsid w:val="00E80701"/>
    <w:rsid w:val="00E81737"/>
    <w:rsid w:val="00E8244F"/>
    <w:rsid w:val="00E82610"/>
    <w:rsid w:val="00E8326F"/>
    <w:rsid w:val="00E8361B"/>
    <w:rsid w:val="00E84245"/>
    <w:rsid w:val="00E87654"/>
    <w:rsid w:val="00E90459"/>
    <w:rsid w:val="00E92DB5"/>
    <w:rsid w:val="00E94275"/>
    <w:rsid w:val="00E95DA2"/>
    <w:rsid w:val="00E96B56"/>
    <w:rsid w:val="00E97441"/>
    <w:rsid w:val="00E97D24"/>
    <w:rsid w:val="00EA01A0"/>
    <w:rsid w:val="00EA11F1"/>
    <w:rsid w:val="00EA22DB"/>
    <w:rsid w:val="00EA2A3A"/>
    <w:rsid w:val="00EA3F83"/>
    <w:rsid w:val="00EA416B"/>
    <w:rsid w:val="00EA45CD"/>
    <w:rsid w:val="00EA488C"/>
    <w:rsid w:val="00EA5370"/>
    <w:rsid w:val="00EA5732"/>
    <w:rsid w:val="00EA71A3"/>
    <w:rsid w:val="00EA7841"/>
    <w:rsid w:val="00EA78BD"/>
    <w:rsid w:val="00EA7D4A"/>
    <w:rsid w:val="00EB01F7"/>
    <w:rsid w:val="00EB3165"/>
    <w:rsid w:val="00EB3EFD"/>
    <w:rsid w:val="00EB543B"/>
    <w:rsid w:val="00EB56FC"/>
    <w:rsid w:val="00EB57CE"/>
    <w:rsid w:val="00EB62F5"/>
    <w:rsid w:val="00EB7A55"/>
    <w:rsid w:val="00EC0AA8"/>
    <w:rsid w:val="00EC27F7"/>
    <w:rsid w:val="00EC4AE6"/>
    <w:rsid w:val="00EC5CCF"/>
    <w:rsid w:val="00EC728E"/>
    <w:rsid w:val="00ED0470"/>
    <w:rsid w:val="00ED1B3F"/>
    <w:rsid w:val="00ED35F5"/>
    <w:rsid w:val="00ED5455"/>
    <w:rsid w:val="00ED54FF"/>
    <w:rsid w:val="00ED78AA"/>
    <w:rsid w:val="00EE099D"/>
    <w:rsid w:val="00EE1BED"/>
    <w:rsid w:val="00EE325E"/>
    <w:rsid w:val="00EE3F91"/>
    <w:rsid w:val="00EE67EB"/>
    <w:rsid w:val="00EE6E4F"/>
    <w:rsid w:val="00EE7C76"/>
    <w:rsid w:val="00EF1B69"/>
    <w:rsid w:val="00EF3007"/>
    <w:rsid w:val="00EF6D8B"/>
    <w:rsid w:val="00EF73FD"/>
    <w:rsid w:val="00F037F1"/>
    <w:rsid w:val="00F03F87"/>
    <w:rsid w:val="00F05F33"/>
    <w:rsid w:val="00F117F7"/>
    <w:rsid w:val="00F13859"/>
    <w:rsid w:val="00F15B59"/>
    <w:rsid w:val="00F17AB3"/>
    <w:rsid w:val="00F204F0"/>
    <w:rsid w:val="00F2108A"/>
    <w:rsid w:val="00F210C3"/>
    <w:rsid w:val="00F2170E"/>
    <w:rsid w:val="00F21849"/>
    <w:rsid w:val="00F22A4A"/>
    <w:rsid w:val="00F24A43"/>
    <w:rsid w:val="00F2741C"/>
    <w:rsid w:val="00F3260C"/>
    <w:rsid w:val="00F3267C"/>
    <w:rsid w:val="00F3320E"/>
    <w:rsid w:val="00F36FDF"/>
    <w:rsid w:val="00F5020C"/>
    <w:rsid w:val="00F50D93"/>
    <w:rsid w:val="00F51615"/>
    <w:rsid w:val="00F52B9F"/>
    <w:rsid w:val="00F53F29"/>
    <w:rsid w:val="00F54ADC"/>
    <w:rsid w:val="00F56713"/>
    <w:rsid w:val="00F6485C"/>
    <w:rsid w:val="00F665DC"/>
    <w:rsid w:val="00F70654"/>
    <w:rsid w:val="00F70A49"/>
    <w:rsid w:val="00F70E81"/>
    <w:rsid w:val="00F711CB"/>
    <w:rsid w:val="00F72B4A"/>
    <w:rsid w:val="00F73713"/>
    <w:rsid w:val="00F750D8"/>
    <w:rsid w:val="00F75A0C"/>
    <w:rsid w:val="00F7731D"/>
    <w:rsid w:val="00F81C55"/>
    <w:rsid w:val="00F823BC"/>
    <w:rsid w:val="00F82C8B"/>
    <w:rsid w:val="00F86424"/>
    <w:rsid w:val="00F86729"/>
    <w:rsid w:val="00F87757"/>
    <w:rsid w:val="00F90C53"/>
    <w:rsid w:val="00F9389B"/>
    <w:rsid w:val="00F93B9F"/>
    <w:rsid w:val="00F95332"/>
    <w:rsid w:val="00FA08E2"/>
    <w:rsid w:val="00FA0A4E"/>
    <w:rsid w:val="00FA2AFA"/>
    <w:rsid w:val="00FA4402"/>
    <w:rsid w:val="00FB126D"/>
    <w:rsid w:val="00FB1CF2"/>
    <w:rsid w:val="00FB1D77"/>
    <w:rsid w:val="00FB278E"/>
    <w:rsid w:val="00FB2B0F"/>
    <w:rsid w:val="00FB303B"/>
    <w:rsid w:val="00FB3482"/>
    <w:rsid w:val="00FB51E2"/>
    <w:rsid w:val="00FB5E0F"/>
    <w:rsid w:val="00FB78BA"/>
    <w:rsid w:val="00FC13D9"/>
    <w:rsid w:val="00FC44E5"/>
    <w:rsid w:val="00FC4F10"/>
    <w:rsid w:val="00FC63B1"/>
    <w:rsid w:val="00FC677A"/>
    <w:rsid w:val="00FC7E9C"/>
    <w:rsid w:val="00FD1C88"/>
    <w:rsid w:val="00FD1D7D"/>
    <w:rsid w:val="00FD213C"/>
    <w:rsid w:val="00FE2A1C"/>
    <w:rsid w:val="00FE3949"/>
    <w:rsid w:val="00FE3F6A"/>
    <w:rsid w:val="00FE5156"/>
    <w:rsid w:val="00FE563C"/>
    <w:rsid w:val="00FE675F"/>
    <w:rsid w:val="00FF08E0"/>
    <w:rsid w:val="00FF1153"/>
    <w:rsid w:val="00FF161A"/>
    <w:rsid w:val="00FF47ED"/>
    <w:rsid w:val="00FF557C"/>
    <w:rsid w:val="04453995"/>
    <w:rsid w:val="044E233A"/>
    <w:rsid w:val="050A9138"/>
    <w:rsid w:val="119FAB0F"/>
    <w:rsid w:val="13AC5F85"/>
    <w:rsid w:val="175CE524"/>
    <w:rsid w:val="1A4EF77F"/>
    <w:rsid w:val="1F1AE0BE"/>
    <w:rsid w:val="25FE9F1B"/>
    <w:rsid w:val="27974F9C"/>
    <w:rsid w:val="2EE732DC"/>
    <w:rsid w:val="35503A73"/>
    <w:rsid w:val="3AEEC375"/>
    <w:rsid w:val="3DA10D86"/>
    <w:rsid w:val="4498577A"/>
    <w:rsid w:val="4A16211B"/>
    <w:rsid w:val="4AE965A3"/>
    <w:rsid w:val="60F3238D"/>
    <w:rsid w:val="6D683722"/>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D30668E0-C42C-4C08-A3D6-B4FA3F7C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nccn.org/professionals/physician_gls/pdf/cll.pdf" TargetMode="External"/><Relationship Id="rId26" Type="http://schemas.openxmlformats.org/officeDocument/2006/relationships/hyperlink" Target="https://library.ehaweb.org/eha/2025/eha2025-congress/4159994/talha.munir.cross-study.comparison.of.ibrutinib.in.combination.with.venetoclax.html?f=listing%3D0%2Abrowseby%3D8%2Asortby%3D2%2Asearch%3DIbrutinib" TargetMode="External"/><Relationship Id="rId3" Type="http://schemas.openxmlformats.org/officeDocument/2006/relationships/customXml" Target="../customXml/item3.xml"/><Relationship Id="rId21" Type="http://schemas.openxmlformats.org/officeDocument/2006/relationships/hyperlink" Target="https://clinicaltrials.gov/study/NCT02242942"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clinicaltrials.gov/study/NCT07277231" TargetMode="External"/><Relationship Id="rId25" Type="http://schemas.openxmlformats.org/officeDocument/2006/relationships/hyperlink" Target="https://clinicaltrials.gov/study/NCT02005471" TargetMode="External"/><Relationship Id="rId33"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2" Type="http://schemas.openxmlformats.org/officeDocument/2006/relationships/customXml" Target="../customXml/item2.xml"/><Relationship Id="rId16" Type="http://schemas.openxmlformats.org/officeDocument/2006/relationships/hyperlink" Target="https://ir-api.eqs.com/media/document/596ace4e-5ca7-4468-bee6-832008348be1/assets/BeOne_Medicines_JPM_2026_Presentation_FOR_WEBSITE.pdf?disposition=inline" TargetMode="External"/><Relationship Id="rId20" Type="http://schemas.openxmlformats.org/officeDocument/2006/relationships/hyperlink" Target="https://clinicaltrials.gov/study/NCT07277231" TargetMode="External"/><Relationship Id="rId29" Type="http://schemas.openxmlformats.org/officeDocument/2006/relationships/hyperlink" Target="mailto:Harjit.Bajwa@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www.clinicaltrials.gov/study/NCT02910583" TargetMode="External"/><Relationship Id="rId32"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5" Type="http://schemas.openxmlformats.org/officeDocument/2006/relationships/styles" Target="styles.xml"/><Relationship Id="rId15" Type="http://schemas.openxmlformats.org/officeDocument/2006/relationships/hyperlink" Target="https://clinicaltrials.gov/study/NCT03836261" TargetMode="External"/><Relationship Id="rId23" Type="http://schemas.openxmlformats.org/officeDocument/2006/relationships/hyperlink" Target="https://clinicaltrials.gov/study/NCT03836261" TargetMode="External"/><Relationship Id="rId28" Type="http://schemas.openxmlformats.org/officeDocument/2006/relationships/image" Target="media/image2.png"/><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cllsociety.org/newly-diagnosed/test-before-treat/" TargetMode="External"/><Relationship Id="rId31"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4" Type="http://schemas.openxmlformats.org/officeDocument/2006/relationships/numbering" Target="numbering.xml"/><Relationship Id="rId9" Type="http://schemas.openxmlformats.org/officeDocument/2006/relationships/image" Target="cid:image009.png@01DC8F9C.88E5E470" TargetMode="External"/><Relationship Id="rId14" Type="http://schemas.openxmlformats.org/officeDocument/2006/relationships/hyperlink" Target="https://www.clinicaltrials.gov/study/NCT02910583" TargetMode="External"/><Relationship Id="rId22" Type="http://schemas.openxmlformats.org/officeDocument/2006/relationships/hyperlink" Target="https://clinicaltrials.gov/study/NCT03462719" TargetMode="External"/><Relationship Id="rId27" Type="http://schemas.openxmlformats.org/officeDocument/2006/relationships/hyperlink" Target="https://ashpublications.org/blood/article/146/Supplement%201/3891/550914/Frontline-treatment-of-sonrotoclax-BGB-11417-and" TargetMode="External"/><Relationship Id="rId30" Type="http://schemas.openxmlformats.org/officeDocument/2006/relationships/hyperlink" Target="mailto:richa.p.sharma@abbvie.com" TargetMode="External"/><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SharedWithUsers xmlns="1e3b51ad-8b26-4643-8436-07947209bc12">
      <UserInfo>
        <DisplayName>Dilworth, Eleanor</DisplayName>
        <AccountId>12</AccountId>
        <AccountType/>
      </UserInfo>
      <UserInfo>
        <DisplayName>Lagunova, Olga</DisplayName>
        <AccountId>69</AccountId>
        <AccountType/>
      </UserInfo>
      <UserInfo>
        <DisplayName>Koch, Moira K</DisplayName>
        <AccountId>10</AccountId>
        <AccountType/>
      </UserInfo>
      <UserInfo>
        <DisplayName>Barkinge, John</DisplayName>
        <AccountId>11</AccountId>
        <AccountType/>
      </UserInfo>
      <UserInfo>
        <DisplayName>Nail, Maureen</DisplayName>
        <AccountId>6</AccountId>
        <AccountType/>
      </UserInfo>
      <UserInfo>
        <DisplayName>Eisinger, Cameron W</DisplayName>
        <AccountId>74</AccountId>
        <AccountType/>
      </UserInfo>
    </SharedWithUsers>
    <lcf76f155ced4ddcb4097134ff3c332f xmlns="75f0410d-776c-4ead-a371-a12a491d997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1e3b51ad-8b26-4643-8436-07947209bc12"/>
    <ds:schemaRef ds:uri="75f0410d-776c-4ead-a371-a12a491d997a"/>
  </ds:schemaRefs>
</ds:datastoreItem>
</file>

<file path=customXml/itemProps2.xml><?xml version="1.0" encoding="utf-8"?>
<ds:datastoreItem xmlns:ds="http://schemas.openxmlformats.org/officeDocument/2006/customXml" ds:itemID="{2E2B8F31-D7AB-4014-9D92-535B0B785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1384</Words>
  <Characters>7889</Characters>
  <Application>Microsoft Office Word</Application>
  <DocSecurity>4</DocSecurity>
  <Lines>65</Lines>
  <Paragraphs>18</Paragraphs>
  <ScaleCrop>false</ScaleCrop>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Bajwa, Harjit</cp:lastModifiedBy>
  <cp:revision>9</cp:revision>
  <dcterms:created xsi:type="dcterms:W3CDTF">2026-02-11T02:24:00Z</dcterms:created>
  <dcterms:modified xsi:type="dcterms:W3CDTF">2026-02-11T18:25:00Z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