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7FB152FF" w14:textId="77777777" w:rsidR="00367ECD" w:rsidRDefault="00882714" w:rsidP="00BD71DC">
            <w:pPr>
              <w:jc w:val="center"/>
              <w:rPr>
                <w:b/>
                <w:bCs/>
                <w:color w:val="002060"/>
                <w:sz w:val="32"/>
                <w:szCs w:val="32"/>
              </w:rPr>
            </w:pPr>
            <w:r>
              <w:rPr>
                <w:b/>
                <w:bCs/>
                <w:color w:val="002060"/>
                <w:sz w:val="32"/>
                <w:szCs w:val="32"/>
              </w:rPr>
              <w:t>UCB reports po</w:t>
            </w:r>
            <w:r w:rsidR="00E57149">
              <w:rPr>
                <w:b/>
                <w:bCs/>
                <w:color w:val="002060"/>
                <w:sz w:val="32"/>
                <w:szCs w:val="32"/>
              </w:rPr>
              <w:t xml:space="preserve">sitive topline data from </w:t>
            </w:r>
          </w:p>
          <w:p w14:paraId="4A9D2127" w14:textId="416CA2E0" w:rsidR="00FB75D6" w:rsidRDefault="00B706D4" w:rsidP="00360374">
            <w:pPr>
              <w:jc w:val="center"/>
              <w:rPr>
                <w:b/>
                <w:bCs/>
                <w:color w:val="002060"/>
                <w:sz w:val="32"/>
                <w:szCs w:val="32"/>
              </w:rPr>
            </w:pPr>
            <w:r>
              <w:rPr>
                <w:b/>
                <w:bCs/>
                <w:color w:val="002060"/>
                <w:sz w:val="32"/>
                <w:szCs w:val="32"/>
              </w:rPr>
              <w:t>BE BOLD H2H trial in</w:t>
            </w:r>
            <w:r w:rsidR="00B82CAF">
              <w:rPr>
                <w:b/>
                <w:bCs/>
                <w:color w:val="002060"/>
                <w:sz w:val="32"/>
                <w:szCs w:val="32"/>
              </w:rPr>
              <w:t xml:space="preserve"> </w:t>
            </w:r>
            <w:r>
              <w:rPr>
                <w:b/>
                <w:bCs/>
                <w:color w:val="002060"/>
                <w:sz w:val="32"/>
                <w:szCs w:val="32"/>
              </w:rPr>
              <w:t>PsA</w:t>
            </w:r>
            <w:r w:rsidR="00882714">
              <w:rPr>
                <w:b/>
                <w:bCs/>
                <w:color w:val="002060"/>
                <w:sz w:val="32"/>
                <w:szCs w:val="32"/>
              </w:rPr>
              <w:t xml:space="preserve"> </w:t>
            </w:r>
          </w:p>
          <w:p w14:paraId="7BD74C04" w14:textId="77777777" w:rsidR="0024298A" w:rsidRPr="00222303" w:rsidRDefault="0024298A" w:rsidP="00360374">
            <w:pPr>
              <w:jc w:val="center"/>
              <w:rPr>
                <w:b/>
                <w:color w:val="002060"/>
                <w:sz w:val="22"/>
                <w:szCs w:val="2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1D4F6311"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B82CAF">
                    <w:rPr>
                      <w:rFonts w:ascii="Aptos" w:eastAsia="Aptos" w:hAnsi="Aptos" w:cs="Aptos"/>
                      <w:color w:val="171717" w:themeColor="background2" w:themeShade="1A"/>
                      <w:sz w:val="16"/>
                      <w:szCs w:val="16"/>
                    </w:rPr>
                    <w:t>UCB</w:t>
                  </w:r>
                </w:p>
                <w:p w14:paraId="6470EEFF" w14:textId="2C844A47"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651664" w:rsidRPr="00360374">
                    <w:rPr>
                      <w:rFonts w:ascii="Aptos" w:eastAsia="Aptos" w:hAnsi="Aptos" w:cs="Aptos"/>
                      <w:color w:val="171717" w:themeColor="background2" w:themeShade="1A"/>
                      <w:sz w:val="16"/>
                      <w:szCs w:val="16"/>
                    </w:rPr>
                    <w:t>Bimzelx (bim</w:t>
                  </w:r>
                  <w:r w:rsidR="00360374" w:rsidRPr="00360374">
                    <w:rPr>
                      <w:rFonts w:ascii="Aptos" w:eastAsia="Aptos" w:hAnsi="Aptos" w:cs="Aptos"/>
                      <w:color w:val="171717" w:themeColor="background2" w:themeShade="1A"/>
                      <w:sz w:val="16"/>
                      <w:szCs w:val="16"/>
                    </w:rPr>
                    <w:t>ekizumab; SC IL-17A/F)</w:t>
                  </w:r>
                </w:p>
              </w:tc>
              <w:tc>
                <w:tcPr>
                  <w:tcW w:w="4637" w:type="dxa"/>
                  <w:tcMar>
                    <w:left w:w="105" w:type="dxa"/>
                    <w:right w:w="105" w:type="dxa"/>
                  </w:tcMar>
                  <w:vAlign w:val="center"/>
                </w:tcPr>
                <w:p w14:paraId="48EE8D15" w14:textId="06B272AD"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286BA8">
                    <w:rPr>
                      <w:color w:val="171717" w:themeColor="background2" w:themeShade="1A"/>
                      <w:sz w:val="16"/>
                      <w:szCs w:val="16"/>
                    </w:rPr>
                    <w:t>March 11</w:t>
                  </w:r>
                  <w:r w:rsidR="00286BA8" w:rsidRPr="00286BA8">
                    <w:rPr>
                      <w:color w:val="171717" w:themeColor="background2" w:themeShade="1A"/>
                      <w:sz w:val="16"/>
                      <w:szCs w:val="16"/>
                      <w:vertAlign w:val="superscript"/>
                    </w:rPr>
                    <w:t>th</w:t>
                  </w:r>
                  <w:r w:rsidR="00286BA8">
                    <w:rPr>
                      <w:color w:val="171717" w:themeColor="background2" w:themeShade="1A"/>
                      <w:sz w:val="16"/>
                      <w:szCs w:val="16"/>
                    </w:rPr>
                    <w:t>, 2026</w:t>
                  </w:r>
                </w:p>
                <w:p w14:paraId="5B8DA44C" w14:textId="6E0B1819"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286BA8" w:rsidRPr="005744CA">
                      <w:rPr>
                        <w:rStyle w:val="Hyperlink"/>
                        <w:sz w:val="16"/>
                        <w:szCs w:val="16"/>
                      </w:rPr>
                      <w:t>Press Release</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53131E00" w14:textId="05AA231E" w:rsidR="002E6873" w:rsidRPr="008F3525" w:rsidRDefault="005744CA" w:rsidP="00095426">
            <w:pPr>
              <w:pStyle w:val="ListParagraph"/>
              <w:numPr>
                <w:ilvl w:val="0"/>
                <w:numId w:val="8"/>
              </w:numPr>
              <w:rPr>
                <w:color w:val="171717" w:themeColor="background2" w:themeShade="1A"/>
                <w:sz w:val="22"/>
                <w:szCs w:val="22"/>
              </w:rPr>
            </w:pPr>
            <w:r w:rsidRPr="00B069FB">
              <w:rPr>
                <w:color w:val="171717" w:themeColor="background2" w:themeShade="1A"/>
                <w:sz w:val="22"/>
                <w:szCs w:val="22"/>
              </w:rPr>
              <w:t xml:space="preserve">UCB announced positive topline results from </w:t>
            </w:r>
            <w:hyperlink r:id="rId10" w:history="1">
              <w:r w:rsidR="00A73F2A" w:rsidRPr="00B069FB">
                <w:rPr>
                  <w:rStyle w:val="Hyperlink"/>
                  <w:sz w:val="22"/>
                  <w:szCs w:val="22"/>
                </w:rPr>
                <w:t>BE BOLD</w:t>
              </w:r>
            </w:hyperlink>
            <w:r w:rsidR="00B069FB" w:rsidRPr="00B069FB">
              <w:rPr>
                <w:sz w:val="22"/>
                <w:szCs w:val="22"/>
              </w:rPr>
              <w:t xml:space="preserve">, a </w:t>
            </w:r>
            <w:r w:rsidR="00B069FB" w:rsidRPr="004A1DF6">
              <w:rPr>
                <w:color w:val="171717" w:themeColor="background2" w:themeShade="1A"/>
                <w:sz w:val="22"/>
                <w:szCs w:val="22"/>
              </w:rPr>
              <w:t>post-marketing</w:t>
            </w:r>
            <w:r w:rsidR="00A73F2A" w:rsidRPr="00B069FB">
              <w:rPr>
                <w:color w:val="171717" w:themeColor="background2" w:themeShade="1A"/>
                <w:sz w:val="22"/>
                <w:szCs w:val="22"/>
              </w:rPr>
              <w:t xml:space="preserve"> trial </w:t>
            </w:r>
            <w:r w:rsidR="0005110A" w:rsidRPr="00B069FB">
              <w:rPr>
                <w:color w:val="171717" w:themeColor="background2" w:themeShade="1A"/>
                <w:sz w:val="22"/>
                <w:szCs w:val="22"/>
              </w:rPr>
              <w:t xml:space="preserve">comparing </w:t>
            </w:r>
            <w:r w:rsidR="00C2256C" w:rsidRPr="00B069FB">
              <w:rPr>
                <w:color w:val="171717" w:themeColor="background2" w:themeShade="1A"/>
                <w:sz w:val="22"/>
                <w:szCs w:val="22"/>
              </w:rPr>
              <w:t xml:space="preserve">the efficacy of Bimzelx (bimekizumab; SC IL-17A/F) versus </w:t>
            </w:r>
            <w:r w:rsidR="00452C21" w:rsidRPr="00B069FB">
              <w:rPr>
                <w:color w:val="171717" w:themeColor="background2" w:themeShade="1A"/>
                <w:sz w:val="22"/>
                <w:szCs w:val="22"/>
              </w:rPr>
              <w:t xml:space="preserve">Skyrizi (risankizumab; </w:t>
            </w:r>
            <w:r w:rsidR="00E524E7" w:rsidRPr="00B069FB">
              <w:rPr>
                <w:color w:val="171717" w:themeColor="background2" w:themeShade="1A"/>
                <w:sz w:val="22"/>
                <w:szCs w:val="22"/>
              </w:rPr>
              <w:t>SC IL-23 mAb)</w:t>
            </w:r>
            <w:r w:rsidR="00646034" w:rsidRPr="00B069FB">
              <w:rPr>
                <w:color w:val="171717" w:themeColor="background2" w:themeShade="1A"/>
                <w:sz w:val="22"/>
                <w:szCs w:val="22"/>
              </w:rPr>
              <w:t xml:space="preserve"> in adult patient</w:t>
            </w:r>
            <w:r w:rsidR="009B76B5" w:rsidRPr="00B069FB">
              <w:rPr>
                <w:color w:val="171717" w:themeColor="background2" w:themeShade="1A"/>
                <w:sz w:val="22"/>
                <w:szCs w:val="22"/>
              </w:rPr>
              <w:t>s</w:t>
            </w:r>
            <w:r w:rsidR="00646034" w:rsidRPr="00B069FB">
              <w:rPr>
                <w:color w:val="171717" w:themeColor="background2" w:themeShade="1A"/>
                <w:sz w:val="22"/>
                <w:szCs w:val="22"/>
              </w:rPr>
              <w:t xml:space="preserve"> with active psoriatic arthritis (PsA)</w:t>
            </w:r>
            <w:r w:rsidR="00CB5168">
              <w:rPr>
                <w:color w:val="171717" w:themeColor="background2" w:themeShade="1A"/>
                <w:sz w:val="22"/>
                <w:szCs w:val="22"/>
              </w:rPr>
              <w:t xml:space="preserve">, </w:t>
            </w:r>
            <w:r w:rsidR="00CB5168" w:rsidRPr="00CB5168">
              <w:rPr>
                <w:color w:val="171717" w:themeColor="background2" w:themeShade="1A"/>
                <w:sz w:val="22"/>
                <w:szCs w:val="22"/>
              </w:rPr>
              <w:t xml:space="preserve">after the topline readout was </w:t>
            </w:r>
            <w:hyperlink r:id="rId11" w:history="1">
              <w:r w:rsidR="00CB5168" w:rsidRPr="002101EE">
                <w:rPr>
                  <w:rStyle w:val="Hyperlink"/>
                  <w:sz w:val="22"/>
                  <w:szCs w:val="22"/>
                </w:rPr>
                <w:t>accelerated</w:t>
              </w:r>
            </w:hyperlink>
            <w:r w:rsidR="00CB5168" w:rsidRPr="00CB5168">
              <w:rPr>
                <w:color w:val="171717" w:themeColor="background2" w:themeShade="1A"/>
                <w:sz w:val="22"/>
                <w:szCs w:val="22"/>
              </w:rPr>
              <w:t xml:space="preserve"> to H1 2026 from prior H2 2026 guidance due to strong patient enrollment</w:t>
            </w:r>
          </w:p>
          <w:p w14:paraId="7B742149" w14:textId="24179B9C" w:rsidR="002E6873" w:rsidRPr="00294BA4" w:rsidRDefault="00A771A0" w:rsidP="00095426">
            <w:pPr>
              <w:pStyle w:val="ListParagraph"/>
              <w:numPr>
                <w:ilvl w:val="1"/>
                <w:numId w:val="8"/>
              </w:numPr>
              <w:rPr>
                <w:color w:val="002060"/>
                <w:sz w:val="22"/>
                <w:szCs w:val="22"/>
              </w:rPr>
            </w:pPr>
            <w:r w:rsidRPr="008F3525">
              <w:rPr>
                <w:sz w:val="22"/>
                <w:szCs w:val="22"/>
              </w:rPr>
              <w:t>R</w:t>
            </w:r>
            <w:r w:rsidR="002A55C9" w:rsidRPr="008F3525">
              <w:rPr>
                <w:sz w:val="22"/>
                <w:szCs w:val="22"/>
              </w:rPr>
              <w:t xml:space="preserve">esults </w:t>
            </w:r>
            <w:r w:rsidR="007652E2">
              <w:rPr>
                <w:sz w:val="22"/>
                <w:szCs w:val="22"/>
              </w:rPr>
              <w:t>showed</w:t>
            </w:r>
            <w:r w:rsidR="00C74FC9" w:rsidRPr="008F3525">
              <w:rPr>
                <w:sz w:val="22"/>
                <w:szCs w:val="22"/>
              </w:rPr>
              <w:t xml:space="preserve"> </w:t>
            </w:r>
            <w:r w:rsidR="00D740E1" w:rsidRPr="008F3525">
              <w:rPr>
                <w:sz w:val="22"/>
                <w:szCs w:val="22"/>
              </w:rPr>
              <w:t>statistically significant superiority</w:t>
            </w:r>
            <w:r w:rsidR="00C30D76" w:rsidRPr="008F3525">
              <w:rPr>
                <w:sz w:val="22"/>
                <w:szCs w:val="22"/>
              </w:rPr>
              <w:t xml:space="preserve"> </w:t>
            </w:r>
            <w:r w:rsidR="00642698" w:rsidRPr="008F3525">
              <w:rPr>
                <w:sz w:val="22"/>
                <w:szCs w:val="22"/>
              </w:rPr>
              <w:t xml:space="preserve">vs Skyrizi </w:t>
            </w:r>
            <w:r w:rsidR="00294BA4">
              <w:rPr>
                <w:sz w:val="22"/>
                <w:szCs w:val="22"/>
              </w:rPr>
              <w:t>i</w:t>
            </w:r>
            <w:r w:rsidR="003E17EE" w:rsidRPr="008F3525">
              <w:rPr>
                <w:sz w:val="22"/>
                <w:szCs w:val="22"/>
              </w:rPr>
              <w:t xml:space="preserve">n the primary endpoint of ACR50 at Week 16 </w:t>
            </w:r>
          </w:p>
          <w:p w14:paraId="1A0773B6" w14:textId="26605897" w:rsidR="00294BA4" w:rsidRPr="008F3525" w:rsidRDefault="00294BA4" w:rsidP="00095426">
            <w:pPr>
              <w:pStyle w:val="ListParagraph"/>
              <w:numPr>
                <w:ilvl w:val="1"/>
                <w:numId w:val="8"/>
              </w:numPr>
              <w:rPr>
                <w:color w:val="002060"/>
                <w:sz w:val="22"/>
                <w:szCs w:val="22"/>
              </w:rPr>
            </w:pPr>
            <w:r>
              <w:rPr>
                <w:sz w:val="22"/>
                <w:szCs w:val="22"/>
              </w:rPr>
              <w:t>Treatment with Bimzelx was generally well tolerated, with no new safety signals observed at Week 16</w:t>
            </w:r>
          </w:p>
          <w:p w14:paraId="7BE15FCB" w14:textId="14AA93CB" w:rsidR="003A5CFF" w:rsidRDefault="00111F26" w:rsidP="00095426">
            <w:pPr>
              <w:pStyle w:val="ListParagraph"/>
              <w:numPr>
                <w:ilvl w:val="0"/>
                <w:numId w:val="8"/>
              </w:numPr>
              <w:rPr>
                <w:sz w:val="22"/>
                <w:szCs w:val="22"/>
              </w:rPr>
            </w:pPr>
            <w:r w:rsidRPr="008F3525">
              <w:rPr>
                <w:sz w:val="22"/>
                <w:szCs w:val="22"/>
              </w:rPr>
              <w:t xml:space="preserve">UCB plans to </w:t>
            </w:r>
            <w:r w:rsidR="00D452E0" w:rsidRPr="008F3525">
              <w:rPr>
                <w:sz w:val="22"/>
                <w:szCs w:val="22"/>
              </w:rPr>
              <w:t xml:space="preserve">present the full BE BOLD </w:t>
            </w:r>
            <w:r w:rsidR="00224DD9" w:rsidRPr="008F3525">
              <w:rPr>
                <w:sz w:val="22"/>
                <w:szCs w:val="22"/>
              </w:rPr>
              <w:t xml:space="preserve">data at </w:t>
            </w:r>
            <w:r w:rsidR="00D17A25">
              <w:rPr>
                <w:sz w:val="22"/>
                <w:szCs w:val="22"/>
              </w:rPr>
              <w:t xml:space="preserve">a forthcoming </w:t>
            </w:r>
            <w:r w:rsidR="006C6402" w:rsidRPr="008F3525">
              <w:rPr>
                <w:sz w:val="22"/>
                <w:szCs w:val="22"/>
              </w:rPr>
              <w:t>international congress</w:t>
            </w:r>
            <w:r w:rsidR="00C55B2A">
              <w:rPr>
                <w:sz w:val="22"/>
                <w:szCs w:val="22"/>
              </w:rPr>
              <w:t xml:space="preserve"> </w:t>
            </w:r>
            <w:r w:rsidR="00C55B2A" w:rsidRPr="00C55B2A">
              <w:rPr>
                <w:i/>
                <w:iCs/>
                <w:color w:val="0070C0"/>
                <w:sz w:val="22"/>
                <w:szCs w:val="22"/>
              </w:rPr>
              <w:t>(undisclosed</w:t>
            </w:r>
            <w:r w:rsidR="00D8017E">
              <w:rPr>
                <w:i/>
                <w:iCs/>
                <w:color w:val="0070C0"/>
                <w:sz w:val="22"/>
                <w:szCs w:val="22"/>
              </w:rPr>
              <w:t>, CI assumes EULAR 2026</w:t>
            </w:r>
            <w:r w:rsidR="00C55B2A" w:rsidRPr="00C55B2A">
              <w:rPr>
                <w:i/>
                <w:iCs/>
                <w:color w:val="0070C0"/>
                <w:sz w:val="22"/>
                <w:szCs w:val="22"/>
              </w:rPr>
              <w:t>)</w:t>
            </w:r>
          </w:p>
          <w:p w14:paraId="3570EE75" w14:textId="77777777" w:rsidR="00487BB9" w:rsidRPr="00254315" w:rsidRDefault="00487BB9" w:rsidP="00487BB9">
            <w:pPr>
              <w:pStyle w:val="ListParagraph"/>
              <w:rPr>
                <w:sz w:val="22"/>
                <w:szCs w:val="22"/>
              </w:rPr>
            </w:pPr>
          </w:p>
          <w:p w14:paraId="120E1270" w14:textId="16A20642" w:rsidR="002E6873" w:rsidRPr="002E6873" w:rsidRDefault="002E6873" w:rsidP="002E6873">
            <w:pPr>
              <w:rPr>
                <w:b/>
                <w:bCs/>
                <w:color w:val="002060"/>
                <w:sz w:val="28"/>
                <w:szCs w:val="28"/>
              </w:rPr>
            </w:pPr>
            <w:r>
              <w:rPr>
                <w:b/>
                <w:bCs/>
                <w:color w:val="002060"/>
                <w:sz w:val="28"/>
                <w:szCs w:val="28"/>
              </w:rPr>
              <w:t xml:space="preserve">Impact (CI PoV): </w:t>
            </w:r>
            <w:r w:rsidRPr="002E6873">
              <w:rPr>
                <w:b/>
                <w:bCs/>
                <w:color w:val="C00000"/>
                <w:sz w:val="28"/>
                <w:szCs w:val="28"/>
              </w:rPr>
              <w:t>HIGH</w:t>
            </w:r>
          </w:p>
          <w:p w14:paraId="1C8516BB" w14:textId="6B11F1B0" w:rsidR="004B77BC" w:rsidRDefault="00614C87" w:rsidP="004C1F33">
            <w:pPr>
              <w:pStyle w:val="ListParagraph"/>
              <w:numPr>
                <w:ilvl w:val="0"/>
                <w:numId w:val="8"/>
              </w:numPr>
              <w:spacing w:after="160" w:line="278" w:lineRule="auto"/>
              <w:rPr>
                <w:color w:val="171717" w:themeColor="background2" w:themeShade="1A"/>
                <w:sz w:val="22"/>
                <w:szCs w:val="22"/>
              </w:rPr>
            </w:pPr>
            <w:r w:rsidRPr="00E96909">
              <w:rPr>
                <w:sz w:val="22"/>
                <w:szCs w:val="22"/>
              </w:rPr>
              <w:t xml:space="preserve">UCB </w:t>
            </w:r>
            <w:r w:rsidR="004B306F">
              <w:rPr>
                <w:sz w:val="22"/>
                <w:szCs w:val="22"/>
              </w:rPr>
              <w:t xml:space="preserve">highlighted </w:t>
            </w:r>
            <w:hyperlink r:id="rId12">
              <w:r w:rsidR="00735E12" w:rsidRPr="08971BFB">
                <w:rPr>
                  <w:rStyle w:val="Hyperlink"/>
                  <w:sz w:val="22"/>
                  <w:szCs w:val="22"/>
                </w:rPr>
                <w:t>BE BOLD</w:t>
              </w:r>
            </w:hyperlink>
            <w:r w:rsidR="00735E12">
              <w:rPr>
                <w:color w:val="171717" w:themeColor="background2" w:themeShade="1A"/>
                <w:sz w:val="22"/>
                <w:szCs w:val="22"/>
              </w:rPr>
              <w:t xml:space="preserve"> </w:t>
            </w:r>
            <w:r w:rsidR="004B306F">
              <w:rPr>
                <w:color w:val="171717" w:themeColor="background2" w:themeShade="1A"/>
                <w:sz w:val="22"/>
                <w:szCs w:val="22"/>
              </w:rPr>
              <w:t xml:space="preserve">as </w:t>
            </w:r>
            <w:r w:rsidR="00C74B71">
              <w:rPr>
                <w:color w:val="171717" w:themeColor="background2" w:themeShade="1A"/>
                <w:sz w:val="22"/>
                <w:szCs w:val="22"/>
              </w:rPr>
              <w:t xml:space="preserve">a “landmark” </w:t>
            </w:r>
            <w:r w:rsidR="00A97C8E" w:rsidRPr="00A97C8E">
              <w:rPr>
                <w:color w:val="171717" w:themeColor="background2" w:themeShade="1A"/>
                <w:sz w:val="22"/>
                <w:szCs w:val="22"/>
              </w:rPr>
              <w:t xml:space="preserve">first head-to-head </w:t>
            </w:r>
            <w:r w:rsidR="0054176B">
              <w:rPr>
                <w:color w:val="171717" w:themeColor="background2" w:themeShade="1A"/>
                <w:sz w:val="22"/>
                <w:szCs w:val="22"/>
              </w:rPr>
              <w:t xml:space="preserve">(H2H) </w:t>
            </w:r>
            <w:r w:rsidR="00A97C8E" w:rsidRPr="00A97C8E">
              <w:rPr>
                <w:color w:val="171717" w:themeColor="background2" w:themeShade="1A"/>
                <w:sz w:val="22"/>
                <w:szCs w:val="22"/>
              </w:rPr>
              <w:t xml:space="preserve">study in active PsA to show superiority over an IL-23 inhibitor and the fourth </w:t>
            </w:r>
            <w:r w:rsidR="00A97C8E">
              <w:rPr>
                <w:color w:val="171717" w:themeColor="background2" w:themeShade="1A"/>
                <w:sz w:val="22"/>
                <w:szCs w:val="22"/>
              </w:rPr>
              <w:t xml:space="preserve">H2H </w:t>
            </w:r>
            <w:r w:rsidR="00A97C8E" w:rsidRPr="00A97C8E">
              <w:rPr>
                <w:color w:val="171717" w:themeColor="background2" w:themeShade="1A"/>
                <w:sz w:val="22"/>
                <w:szCs w:val="22"/>
              </w:rPr>
              <w:t xml:space="preserve">superiority study across the broader bimekizumab psoriatic disease </w:t>
            </w:r>
            <w:r w:rsidR="00A97C8E">
              <w:rPr>
                <w:color w:val="171717" w:themeColor="background2" w:themeShade="1A"/>
                <w:sz w:val="22"/>
                <w:szCs w:val="22"/>
              </w:rPr>
              <w:t>(PsD) prog</w:t>
            </w:r>
            <w:r w:rsidR="00A97C8E" w:rsidRPr="00A97C8E">
              <w:rPr>
                <w:color w:val="171717" w:themeColor="background2" w:themeShade="1A"/>
                <w:sz w:val="22"/>
                <w:szCs w:val="22"/>
              </w:rPr>
              <w:t>ram</w:t>
            </w:r>
            <w:r w:rsidR="008A1E6E">
              <w:rPr>
                <w:color w:val="171717" w:themeColor="background2" w:themeShade="1A"/>
                <w:sz w:val="22"/>
                <w:szCs w:val="22"/>
              </w:rPr>
              <w:t xml:space="preserve"> </w:t>
            </w:r>
          </w:p>
          <w:p w14:paraId="7C733751" w14:textId="1D2D4C6E" w:rsidR="5BC045B0" w:rsidRDefault="5BC045B0" w:rsidP="08971BFB">
            <w:pPr>
              <w:pStyle w:val="ListParagraph"/>
              <w:numPr>
                <w:ilvl w:val="0"/>
                <w:numId w:val="11"/>
              </w:numPr>
              <w:spacing w:after="160" w:line="278" w:lineRule="auto"/>
              <w:rPr>
                <w:i/>
                <w:iCs/>
                <w:color w:val="0070C0"/>
                <w:sz w:val="22"/>
                <w:szCs w:val="22"/>
              </w:rPr>
            </w:pPr>
            <w:r w:rsidRPr="39EFCC06">
              <w:rPr>
                <w:i/>
                <w:iCs/>
                <w:color w:val="0070C0"/>
                <w:sz w:val="22"/>
                <w:szCs w:val="22"/>
              </w:rPr>
              <w:t xml:space="preserve">Prior </w:t>
            </w:r>
            <w:r w:rsidR="00697F08">
              <w:rPr>
                <w:i/>
                <w:iCs/>
                <w:color w:val="0070C0"/>
                <w:sz w:val="22"/>
                <w:szCs w:val="22"/>
              </w:rPr>
              <w:t xml:space="preserve">Phase 3 </w:t>
            </w:r>
            <w:r w:rsidRPr="39EFCC06">
              <w:rPr>
                <w:i/>
                <w:iCs/>
                <w:color w:val="0070C0"/>
                <w:sz w:val="22"/>
                <w:szCs w:val="22"/>
              </w:rPr>
              <w:t>H2H</w:t>
            </w:r>
            <w:r w:rsidR="007C2565">
              <w:rPr>
                <w:i/>
                <w:iCs/>
                <w:color w:val="0070C0"/>
                <w:sz w:val="22"/>
                <w:szCs w:val="22"/>
              </w:rPr>
              <w:t xml:space="preserve"> studies </w:t>
            </w:r>
            <w:r w:rsidR="00C3039C">
              <w:rPr>
                <w:i/>
                <w:iCs/>
                <w:color w:val="0070C0"/>
                <w:sz w:val="22"/>
                <w:szCs w:val="22"/>
              </w:rPr>
              <w:t>demonstrating super</w:t>
            </w:r>
            <w:r w:rsidR="00EB018B">
              <w:rPr>
                <w:i/>
                <w:iCs/>
                <w:color w:val="0070C0"/>
                <w:sz w:val="22"/>
                <w:szCs w:val="22"/>
              </w:rPr>
              <w:t xml:space="preserve">iority of Bimzelx include </w:t>
            </w:r>
            <w:hyperlink r:id="rId13" w:history="1">
              <w:r w:rsidR="001E7943" w:rsidRPr="00B07EB7">
                <w:rPr>
                  <w:rStyle w:val="Hyperlink"/>
                  <w:i/>
                  <w:iCs/>
                  <w:sz w:val="22"/>
                  <w:szCs w:val="22"/>
                </w:rPr>
                <w:t>BE RADIANT</w:t>
              </w:r>
            </w:hyperlink>
            <w:r w:rsidR="001E7943">
              <w:rPr>
                <w:i/>
                <w:iCs/>
                <w:color w:val="0070C0"/>
                <w:sz w:val="22"/>
                <w:szCs w:val="22"/>
              </w:rPr>
              <w:t xml:space="preserve"> vs</w:t>
            </w:r>
            <w:r w:rsidR="00027DD9">
              <w:rPr>
                <w:i/>
                <w:iCs/>
                <w:color w:val="0070C0"/>
                <w:sz w:val="22"/>
                <w:szCs w:val="22"/>
              </w:rPr>
              <w:t xml:space="preserve"> Consentyx</w:t>
            </w:r>
            <w:r w:rsidR="00254EBA">
              <w:rPr>
                <w:i/>
                <w:iCs/>
                <w:color w:val="0070C0"/>
                <w:sz w:val="22"/>
                <w:szCs w:val="22"/>
              </w:rPr>
              <w:t xml:space="preserve"> (se</w:t>
            </w:r>
            <w:r w:rsidR="009F1105">
              <w:rPr>
                <w:i/>
                <w:iCs/>
                <w:color w:val="0070C0"/>
                <w:sz w:val="22"/>
                <w:szCs w:val="22"/>
              </w:rPr>
              <w:t>cukinumab; SC</w:t>
            </w:r>
            <w:r w:rsidR="003B4E06">
              <w:rPr>
                <w:i/>
                <w:iCs/>
                <w:color w:val="0070C0"/>
                <w:sz w:val="22"/>
                <w:szCs w:val="22"/>
              </w:rPr>
              <w:t>/IV IL-17 inhibitor</w:t>
            </w:r>
            <w:r w:rsidR="00027DD9">
              <w:rPr>
                <w:i/>
                <w:iCs/>
                <w:color w:val="0070C0"/>
                <w:sz w:val="22"/>
                <w:szCs w:val="22"/>
              </w:rPr>
              <w:t>)</w:t>
            </w:r>
            <w:r w:rsidR="00B07EB7">
              <w:rPr>
                <w:i/>
                <w:iCs/>
                <w:color w:val="0070C0"/>
                <w:sz w:val="22"/>
                <w:szCs w:val="22"/>
              </w:rPr>
              <w:t xml:space="preserve">, </w:t>
            </w:r>
            <w:hyperlink r:id="rId14" w:history="1">
              <w:r w:rsidR="00697F08" w:rsidRPr="007352A9">
                <w:rPr>
                  <w:rStyle w:val="Hyperlink"/>
                  <w:i/>
                  <w:iCs/>
                  <w:sz w:val="22"/>
                  <w:szCs w:val="22"/>
                </w:rPr>
                <w:t>BE-SURE</w:t>
              </w:r>
            </w:hyperlink>
            <w:r w:rsidR="00697F08">
              <w:rPr>
                <w:i/>
                <w:iCs/>
                <w:color w:val="0070C0"/>
                <w:sz w:val="22"/>
                <w:szCs w:val="22"/>
              </w:rPr>
              <w:t xml:space="preserve"> </w:t>
            </w:r>
            <w:r w:rsidR="00BB7C8F">
              <w:rPr>
                <w:i/>
                <w:iCs/>
                <w:color w:val="0070C0"/>
                <w:sz w:val="22"/>
                <w:szCs w:val="22"/>
              </w:rPr>
              <w:t>vs Humir</w:t>
            </w:r>
            <w:r w:rsidR="004C3A62">
              <w:rPr>
                <w:i/>
                <w:iCs/>
                <w:color w:val="0070C0"/>
                <w:sz w:val="22"/>
                <w:szCs w:val="22"/>
              </w:rPr>
              <w:t>a</w:t>
            </w:r>
            <w:r w:rsidR="007101C1">
              <w:rPr>
                <w:i/>
                <w:iCs/>
                <w:color w:val="0070C0"/>
                <w:sz w:val="22"/>
                <w:szCs w:val="22"/>
              </w:rPr>
              <w:t xml:space="preserve"> </w:t>
            </w:r>
            <w:r w:rsidR="00853F6F">
              <w:rPr>
                <w:i/>
                <w:iCs/>
                <w:color w:val="0070C0"/>
                <w:sz w:val="22"/>
                <w:szCs w:val="22"/>
              </w:rPr>
              <w:t>(</w:t>
            </w:r>
            <w:r w:rsidR="00853F6F" w:rsidRPr="00853F6F">
              <w:rPr>
                <w:i/>
                <w:iCs/>
                <w:color w:val="0070C0"/>
                <w:sz w:val="22"/>
                <w:szCs w:val="22"/>
              </w:rPr>
              <w:t>adalimumab</w:t>
            </w:r>
            <w:r w:rsidR="00910707">
              <w:rPr>
                <w:i/>
                <w:iCs/>
                <w:color w:val="0070C0"/>
                <w:sz w:val="22"/>
                <w:szCs w:val="22"/>
              </w:rPr>
              <w:t>;</w:t>
            </w:r>
            <w:r w:rsidR="007101C1">
              <w:rPr>
                <w:i/>
                <w:iCs/>
                <w:color w:val="0070C0"/>
                <w:sz w:val="22"/>
                <w:szCs w:val="22"/>
              </w:rPr>
              <w:t xml:space="preserve"> </w:t>
            </w:r>
            <w:r w:rsidR="00CA5C88">
              <w:rPr>
                <w:i/>
                <w:iCs/>
                <w:color w:val="0070C0"/>
                <w:sz w:val="22"/>
                <w:szCs w:val="22"/>
              </w:rPr>
              <w:t>TNF</w:t>
            </w:r>
            <w:r w:rsidR="0010652E" w:rsidRPr="0010652E">
              <w:rPr>
                <w:i/>
                <w:iCs/>
                <w:color w:val="0070C0"/>
                <w:sz w:val="22"/>
                <w:szCs w:val="22"/>
              </w:rPr>
              <w:t>α</w:t>
            </w:r>
            <w:r w:rsidR="00CA5C88">
              <w:rPr>
                <w:i/>
                <w:iCs/>
                <w:color w:val="0070C0"/>
                <w:sz w:val="22"/>
                <w:szCs w:val="22"/>
              </w:rPr>
              <w:t xml:space="preserve"> inhibitor)</w:t>
            </w:r>
            <w:r w:rsidR="00C8645E">
              <w:rPr>
                <w:i/>
                <w:iCs/>
                <w:color w:val="0070C0"/>
                <w:sz w:val="22"/>
                <w:szCs w:val="22"/>
              </w:rPr>
              <w:t xml:space="preserve"> and </w:t>
            </w:r>
            <w:hyperlink r:id="rId15" w:history="1">
              <w:r w:rsidR="00BB1BC1" w:rsidRPr="00123EC4">
                <w:rPr>
                  <w:rStyle w:val="Hyperlink"/>
                  <w:i/>
                  <w:iCs/>
                  <w:sz w:val="22"/>
                  <w:szCs w:val="22"/>
                </w:rPr>
                <w:t>BE</w:t>
              </w:r>
              <w:r w:rsidR="00254EBA" w:rsidRPr="00123EC4">
                <w:rPr>
                  <w:rStyle w:val="Hyperlink"/>
                  <w:i/>
                  <w:iCs/>
                  <w:sz w:val="22"/>
                  <w:szCs w:val="22"/>
                </w:rPr>
                <w:t>-VIVID</w:t>
              </w:r>
            </w:hyperlink>
            <w:r w:rsidR="00254EBA">
              <w:rPr>
                <w:i/>
                <w:iCs/>
                <w:color w:val="0070C0"/>
                <w:sz w:val="22"/>
                <w:szCs w:val="22"/>
              </w:rPr>
              <w:t xml:space="preserve"> </w:t>
            </w:r>
            <w:r w:rsidR="001D1E48">
              <w:rPr>
                <w:i/>
                <w:iCs/>
                <w:color w:val="0070C0"/>
                <w:sz w:val="22"/>
                <w:szCs w:val="22"/>
              </w:rPr>
              <w:t>vs Stelara (</w:t>
            </w:r>
            <w:r w:rsidR="0058715E">
              <w:rPr>
                <w:i/>
                <w:iCs/>
                <w:color w:val="0070C0"/>
                <w:sz w:val="22"/>
                <w:szCs w:val="22"/>
              </w:rPr>
              <w:t xml:space="preserve">ustekinumab; </w:t>
            </w:r>
            <w:r w:rsidR="00776752">
              <w:rPr>
                <w:i/>
                <w:iCs/>
                <w:color w:val="0070C0"/>
                <w:sz w:val="22"/>
                <w:szCs w:val="22"/>
              </w:rPr>
              <w:t xml:space="preserve">SC/IV </w:t>
            </w:r>
            <w:r w:rsidR="00A97208" w:rsidRPr="00A97208">
              <w:rPr>
                <w:i/>
                <w:iCs/>
                <w:color w:val="0070C0"/>
                <w:sz w:val="22"/>
                <w:szCs w:val="22"/>
              </w:rPr>
              <w:t>IL-12/23 mAb</w:t>
            </w:r>
            <w:r w:rsidR="00A97208">
              <w:rPr>
                <w:i/>
                <w:iCs/>
                <w:color w:val="0070C0"/>
                <w:sz w:val="22"/>
                <w:szCs w:val="22"/>
              </w:rPr>
              <w:t>)</w:t>
            </w:r>
          </w:p>
          <w:p w14:paraId="10FBC0EE" w14:textId="77777777" w:rsidR="00C24AA8" w:rsidRDefault="00C24AA8" w:rsidP="00222303">
            <w:pPr>
              <w:pStyle w:val="ListParagraph"/>
              <w:spacing w:after="160" w:line="278" w:lineRule="auto"/>
              <w:ind w:left="1440"/>
              <w:rPr>
                <w:i/>
                <w:iCs/>
                <w:color w:val="0070C0"/>
                <w:sz w:val="22"/>
                <w:szCs w:val="22"/>
              </w:rPr>
            </w:pPr>
          </w:p>
          <w:p w14:paraId="3794E578" w14:textId="43F62694" w:rsid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587CBE9B" w14:textId="1123D0D7" w:rsidR="00095426" w:rsidRDefault="00972E60" w:rsidP="00095426">
            <w:pPr>
              <w:pStyle w:val="ListParagraph"/>
              <w:numPr>
                <w:ilvl w:val="0"/>
                <w:numId w:val="8"/>
              </w:numPr>
              <w:spacing w:after="160" w:line="278" w:lineRule="auto"/>
              <w:rPr>
                <w:color w:val="171717" w:themeColor="background2" w:themeShade="1A"/>
                <w:sz w:val="22"/>
                <w:szCs w:val="22"/>
              </w:rPr>
            </w:pPr>
            <w:r w:rsidRPr="00972E60">
              <w:rPr>
                <w:color w:val="171717" w:themeColor="background2" w:themeShade="1A"/>
                <w:sz w:val="22"/>
                <w:szCs w:val="22"/>
              </w:rPr>
              <w:t xml:space="preserve">Positive topline data </w:t>
            </w:r>
            <w:r w:rsidR="00E233E6">
              <w:rPr>
                <w:color w:val="171717" w:themeColor="background2" w:themeShade="1A"/>
                <w:sz w:val="22"/>
                <w:szCs w:val="22"/>
              </w:rPr>
              <w:t>is expected to</w:t>
            </w:r>
            <w:r w:rsidR="00A147ED" w:rsidRPr="00A147ED">
              <w:rPr>
                <w:color w:val="171717" w:themeColor="background2" w:themeShade="1A"/>
                <w:sz w:val="22"/>
                <w:szCs w:val="22"/>
              </w:rPr>
              <w:t xml:space="preserve"> </w:t>
            </w:r>
            <w:r w:rsidRPr="00972E60">
              <w:rPr>
                <w:color w:val="171717" w:themeColor="background2" w:themeShade="1A"/>
                <w:sz w:val="22"/>
                <w:szCs w:val="22"/>
              </w:rPr>
              <w:t xml:space="preserve">support UCB’s broader positioning of Bimzelx as a first-line treatment across dermatology and rheumatology, </w:t>
            </w:r>
            <w:r w:rsidR="00E233E6">
              <w:rPr>
                <w:color w:val="171717" w:themeColor="background2" w:themeShade="1A"/>
                <w:sz w:val="22"/>
                <w:szCs w:val="22"/>
              </w:rPr>
              <w:t xml:space="preserve">potentially </w:t>
            </w:r>
            <w:r w:rsidR="00705D99" w:rsidRPr="00705D99">
              <w:rPr>
                <w:color w:val="171717" w:themeColor="background2" w:themeShade="1A"/>
                <w:sz w:val="22"/>
                <w:szCs w:val="22"/>
              </w:rPr>
              <w:t>strengthe</w:t>
            </w:r>
            <w:r w:rsidR="005353B9">
              <w:rPr>
                <w:color w:val="171717" w:themeColor="background2" w:themeShade="1A"/>
                <w:sz w:val="22"/>
                <w:szCs w:val="22"/>
              </w:rPr>
              <w:t>n</w:t>
            </w:r>
            <w:r w:rsidR="00E233E6">
              <w:rPr>
                <w:color w:val="171717" w:themeColor="background2" w:themeShade="1A"/>
                <w:sz w:val="22"/>
                <w:szCs w:val="22"/>
              </w:rPr>
              <w:t>ing</w:t>
            </w:r>
            <w:r w:rsidR="00243862" w:rsidRPr="00243862">
              <w:rPr>
                <w:color w:val="171717" w:themeColor="background2" w:themeShade="1A"/>
                <w:sz w:val="22"/>
                <w:szCs w:val="22"/>
              </w:rPr>
              <w:t xml:space="preserve"> messaging around superiority vs IL-23 inhibition and the joint efficacy </w:t>
            </w:r>
            <w:r w:rsidR="005353B9">
              <w:rPr>
                <w:color w:val="171717" w:themeColor="background2" w:themeShade="1A"/>
                <w:sz w:val="22"/>
                <w:szCs w:val="22"/>
              </w:rPr>
              <w:t>enabled by</w:t>
            </w:r>
            <w:r w:rsidR="00243862" w:rsidRPr="00243862">
              <w:rPr>
                <w:color w:val="171717" w:themeColor="background2" w:themeShade="1A"/>
                <w:sz w:val="22"/>
                <w:szCs w:val="22"/>
              </w:rPr>
              <w:t xml:space="preserve"> dual IL-17A/F inhibition</w:t>
            </w:r>
          </w:p>
          <w:p w14:paraId="0914D91F" w14:textId="0B36D5B3" w:rsidR="004B77BC" w:rsidRPr="0083622A" w:rsidRDefault="00990747" w:rsidP="0083622A">
            <w:pPr>
              <w:pStyle w:val="ListParagraph"/>
              <w:numPr>
                <w:ilvl w:val="0"/>
                <w:numId w:val="9"/>
              </w:numPr>
              <w:spacing w:after="160" w:line="278" w:lineRule="auto"/>
              <w:rPr>
                <w:i/>
                <w:iCs/>
                <w:color w:val="0070C0"/>
                <w:sz w:val="22"/>
                <w:szCs w:val="22"/>
              </w:rPr>
            </w:pPr>
            <w:r w:rsidRPr="00990747">
              <w:rPr>
                <w:i/>
                <w:iCs/>
                <w:color w:val="0070C0"/>
                <w:sz w:val="22"/>
                <w:szCs w:val="22"/>
              </w:rPr>
              <w:t xml:space="preserve">Superiority over Skyrizi </w:t>
            </w:r>
            <w:r w:rsidR="00B13C2B">
              <w:rPr>
                <w:i/>
                <w:iCs/>
                <w:color w:val="0070C0"/>
                <w:sz w:val="22"/>
                <w:szCs w:val="22"/>
              </w:rPr>
              <w:t>i</w:t>
            </w:r>
            <w:r w:rsidRPr="00990747">
              <w:rPr>
                <w:i/>
                <w:iCs/>
                <w:color w:val="0070C0"/>
                <w:sz w:val="22"/>
                <w:szCs w:val="22"/>
              </w:rPr>
              <w:t xml:space="preserve">n ACR50 at Week 16 may reflect the faster onset typically associated with IL-17 inhibition vs IL-23 blockade; however, the competitive significance of the BE BOLD readout will </w:t>
            </w:r>
            <w:r w:rsidR="006435BC">
              <w:rPr>
                <w:i/>
                <w:iCs/>
                <w:color w:val="0070C0"/>
                <w:sz w:val="22"/>
                <w:szCs w:val="22"/>
              </w:rPr>
              <w:t xml:space="preserve">likely </w:t>
            </w:r>
            <w:r w:rsidRPr="00990747">
              <w:rPr>
                <w:i/>
                <w:iCs/>
                <w:color w:val="0070C0"/>
                <w:sz w:val="22"/>
                <w:szCs w:val="22"/>
              </w:rPr>
              <w:t xml:space="preserve">depend on whether Bimzelx demonstrates consistent advantages across additional endpoints </w:t>
            </w:r>
            <w:r w:rsidR="009B671D" w:rsidRPr="009B671D">
              <w:rPr>
                <w:i/>
                <w:iCs/>
                <w:color w:val="0070C0"/>
                <w:sz w:val="22"/>
                <w:szCs w:val="22"/>
              </w:rPr>
              <w:t>(e.g., skin responses, composite disease control)</w:t>
            </w:r>
            <w:r w:rsidR="00D86E2A">
              <w:rPr>
                <w:i/>
                <w:iCs/>
                <w:color w:val="0070C0"/>
                <w:sz w:val="22"/>
                <w:szCs w:val="22"/>
              </w:rPr>
              <w:t xml:space="preserve">, </w:t>
            </w:r>
            <w:r w:rsidR="006E1C5B" w:rsidRPr="006E1C5B">
              <w:rPr>
                <w:i/>
                <w:iCs/>
                <w:color w:val="0070C0"/>
                <w:sz w:val="22"/>
                <w:szCs w:val="22"/>
              </w:rPr>
              <w:t>as well as at later timepoints</w:t>
            </w:r>
          </w:p>
          <w:p w14:paraId="6CA81F79" w14:textId="6CDB3F46"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08CC519B" w14:textId="53366DA2" w:rsidR="002E6873" w:rsidRPr="002E6873" w:rsidRDefault="005971F6" w:rsidP="00095426">
            <w:pPr>
              <w:pStyle w:val="ListParagraph"/>
              <w:numPr>
                <w:ilvl w:val="0"/>
                <w:numId w:val="8"/>
              </w:numPr>
              <w:spacing w:after="160" w:line="278" w:lineRule="auto"/>
              <w:rPr>
                <w:color w:val="171717" w:themeColor="background2" w:themeShade="1A"/>
                <w:sz w:val="22"/>
                <w:szCs w:val="22"/>
              </w:rPr>
            </w:pPr>
            <w:r w:rsidRPr="005971F6">
              <w:rPr>
                <w:b/>
                <w:bCs/>
                <w:color w:val="171717" w:themeColor="background2" w:themeShade="1A"/>
                <w:sz w:val="22"/>
                <w:szCs w:val="22"/>
              </w:rPr>
              <w:t xml:space="preserve">Study </w:t>
            </w:r>
            <w:r w:rsidR="00BD5FE4">
              <w:rPr>
                <w:b/>
                <w:bCs/>
                <w:color w:val="171717" w:themeColor="background2" w:themeShade="1A"/>
                <w:sz w:val="22"/>
                <w:szCs w:val="22"/>
              </w:rPr>
              <w:t>D</w:t>
            </w:r>
            <w:r w:rsidRPr="005971F6">
              <w:rPr>
                <w:b/>
                <w:bCs/>
                <w:color w:val="171717" w:themeColor="background2" w:themeShade="1A"/>
                <w:sz w:val="22"/>
                <w:szCs w:val="22"/>
              </w:rPr>
              <w:t>esign:</w:t>
            </w:r>
            <w:r>
              <w:rPr>
                <w:color w:val="171717" w:themeColor="background2" w:themeShade="1A"/>
                <w:sz w:val="22"/>
                <w:szCs w:val="22"/>
              </w:rPr>
              <w:t xml:space="preserve"> </w:t>
            </w:r>
            <w:r w:rsidR="000671A0">
              <w:rPr>
                <w:color w:val="171717" w:themeColor="background2" w:themeShade="1A"/>
                <w:sz w:val="22"/>
                <w:szCs w:val="22"/>
              </w:rPr>
              <w:t xml:space="preserve">The </w:t>
            </w:r>
            <w:r w:rsidR="00315EC1">
              <w:rPr>
                <w:color w:val="171717" w:themeColor="background2" w:themeShade="1A"/>
                <w:sz w:val="22"/>
                <w:szCs w:val="22"/>
              </w:rPr>
              <w:t xml:space="preserve">Phase </w:t>
            </w:r>
            <w:r w:rsidR="000671A0">
              <w:rPr>
                <w:color w:val="171717" w:themeColor="background2" w:themeShade="1A"/>
                <w:sz w:val="22"/>
                <w:szCs w:val="22"/>
              </w:rPr>
              <w:t>3b</w:t>
            </w:r>
            <w:r w:rsidR="00315EC1">
              <w:rPr>
                <w:color w:val="171717" w:themeColor="background2" w:themeShade="1A"/>
                <w:sz w:val="22"/>
                <w:szCs w:val="22"/>
              </w:rPr>
              <w:t xml:space="preserve"> </w:t>
            </w:r>
            <w:hyperlink r:id="rId16" w:history="1">
              <w:r w:rsidR="00315EC1" w:rsidRPr="00476DF9">
                <w:rPr>
                  <w:rStyle w:val="Hyperlink"/>
                  <w:sz w:val="22"/>
                  <w:szCs w:val="22"/>
                </w:rPr>
                <w:t>BE BOLD</w:t>
              </w:r>
            </w:hyperlink>
            <w:r w:rsidR="00315EC1">
              <w:rPr>
                <w:color w:val="171717" w:themeColor="background2" w:themeShade="1A"/>
                <w:sz w:val="22"/>
                <w:szCs w:val="22"/>
              </w:rPr>
              <w:t xml:space="preserve"> </w:t>
            </w:r>
            <w:r w:rsidR="00B864AE">
              <w:rPr>
                <w:color w:val="171717" w:themeColor="background2" w:themeShade="1A"/>
                <w:sz w:val="22"/>
                <w:szCs w:val="22"/>
              </w:rPr>
              <w:t>is a multicenter, randomized</w:t>
            </w:r>
            <w:r w:rsidR="00F94E56">
              <w:rPr>
                <w:color w:val="171717" w:themeColor="background2" w:themeShade="1A"/>
                <w:sz w:val="22"/>
                <w:szCs w:val="22"/>
              </w:rPr>
              <w:t>, double-blind, parallel</w:t>
            </w:r>
            <w:r w:rsidR="00B02591">
              <w:rPr>
                <w:color w:val="171717" w:themeColor="background2" w:themeShade="1A"/>
                <w:sz w:val="22"/>
                <w:szCs w:val="22"/>
              </w:rPr>
              <w:t xml:space="preserve">-group study evaluating efficacy and safety of </w:t>
            </w:r>
            <w:r w:rsidR="00910EFB">
              <w:rPr>
                <w:color w:val="171717" w:themeColor="background2" w:themeShade="1A"/>
                <w:sz w:val="22"/>
                <w:szCs w:val="22"/>
              </w:rPr>
              <w:t>Bimzelx compared with Skyrizi in adult participants with active PsA</w:t>
            </w:r>
            <w:r w:rsidR="007C0580">
              <w:rPr>
                <w:color w:val="171717" w:themeColor="background2" w:themeShade="1A"/>
                <w:sz w:val="22"/>
                <w:szCs w:val="22"/>
              </w:rPr>
              <w:t xml:space="preserve"> </w:t>
            </w:r>
          </w:p>
          <w:p w14:paraId="2A1039BD" w14:textId="54D6A4DC" w:rsidR="00D8122F" w:rsidRPr="00D8122F" w:rsidRDefault="00EF4722" w:rsidP="00D8122F">
            <w:pPr>
              <w:pStyle w:val="ListParagraph"/>
              <w:numPr>
                <w:ilvl w:val="0"/>
                <w:numId w:val="12"/>
              </w:numPr>
              <w:spacing w:after="160" w:line="278" w:lineRule="auto"/>
              <w:rPr>
                <w:sz w:val="22"/>
                <w:szCs w:val="22"/>
              </w:rPr>
            </w:pPr>
            <w:r>
              <w:rPr>
                <w:sz w:val="22"/>
                <w:szCs w:val="22"/>
              </w:rPr>
              <w:t xml:space="preserve">According to the PR, </w:t>
            </w:r>
            <w:r w:rsidR="00965498" w:rsidRPr="00D8122F">
              <w:rPr>
                <w:sz w:val="22"/>
                <w:szCs w:val="22"/>
              </w:rPr>
              <w:t>5</w:t>
            </w:r>
            <w:r w:rsidR="00365E14" w:rsidRPr="00D8122F">
              <w:rPr>
                <w:sz w:val="22"/>
                <w:szCs w:val="22"/>
              </w:rPr>
              <w:t>5</w:t>
            </w:r>
            <w:r w:rsidR="00965498" w:rsidRPr="00D8122F">
              <w:rPr>
                <w:sz w:val="22"/>
                <w:szCs w:val="22"/>
              </w:rPr>
              <w:t>3 pa</w:t>
            </w:r>
            <w:r w:rsidR="0009539D" w:rsidRPr="00D8122F">
              <w:rPr>
                <w:sz w:val="22"/>
                <w:szCs w:val="22"/>
              </w:rPr>
              <w:t xml:space="preserve">rticipants were randomized </w:t>
            </w:r>
            <w:r w:rsidR="004D7C11" w:rsidRPr="00D8122F">
              <w:rPr>
                <w:sz w:val="22"/>
                <w:szCs w:val="22"/>
              </w:rPr>
              <w:t>1:1 to receive either Bimzelx or Skyrizi</w:t>
            </w:r>
            <w:r>
              <w:rPr>
                <w:sz w:val="22"/>
                <w:szCs w:val="22"/>
              </w:rPr>
              <w:t xml:space="preserve"> (CT.gov shows 684</w:t>
            </w:r>
            <w:r w:rsidR="00315590">
              <w:rPr>
                <w:sz w:val="22"/>
                <w:szCs w:val="22"/>
              </w:rPr>
              <w:t xml:space="preserve"> were enrolled)</w:t>
            </w:r>
          </w:p>
          <w:p w14:paraId="69B597FF" w14:textId="14870CF9" w:rsidR="00D8122F" w:rsidRPr="00D8122F" w:rsidRDefault="00D8122F" w:rsidP="00D8122F">
            <w:pPr>
              <w:pStyle w:val="ListParagraph"/>
              <w:numPr>
                <w:ilvl w:val="0"/>
                <w:numId w:val="12"/>
              </w:numPr>
              <w:spacing w:after="160" w:line="278" w:lineRule="auto"/>
              <w:rPr>
                <w:sz w:val="22"/>
                <w:szCs w:val="22"/>
              </w:rPr>
            </w:pPr>
            <w:r>
              <w:rPr>
                <w:sz w:val="22"/>
                <w:szCs w:val="22"/>
              </w:rPr>
              <w:t xml:space="preserve">Eligible participants were </w:t>
            </w:r>
            <w:r w:rsidRPr="00D8122F">
              <w:rPr>
                <w:sz w:val="22"/>
                <w:szCs w:val="22"/>
              </w:rPr>
              <w:t xml:space="preserve">bDMARD-naïve or </w:t>
            </w:r>
            <w:r>
              <w:rPr>
                <w:sz w:val="22"/>
                <w:szCs w:val="22"/>
              </w:rPr>
              <w:t>had prior exposure to on</w:t>
            </w:r>
            <w:r w:rsidR="00883379">
              <w:rPr>
                <w:sz w:val="22"/>
                <w:szCs w:val="22"/>
              </w:rPr>
              <w:t>e</w:t>
            </w:r>
            <w:r>
              <w:rPr>
                <w:sz w:val="22"/>
                <w:szCs w:val="22"/>
              </w:rPr>
              <w:t xml:space="preserve"> </w:t>
            </w:r>
            <w:r w:rsidR="00883379" w:rsidRPr="00883379">
              <w:rPr>
                <w:sz w:val="22"/>
                <w:szCs w:val="22"/>
              </w:rPr>
              <w:t>TNFα inhibitor with an inadequate or intolerant respons</w:t>
            </w:r>
            <w:r w:rsidR="00883379">
              <w:rPr>
                <w:sz w:val="22"/>
                <w:szCs w:val="22"/>
              </w:rPr>
              <w:t>e</w:t>
            </w:r>
          </w:p>
          <w:p w14:paraId="2997362E" w14:textId="258B11F5" w:rsidR="00E511E0" w:rsidRPr="00D8122F" w:rsidRDefault="00E511E0" w:rsidP="00D8122F">
            <w:pPr>
              <w:pStyle w:val="ListParagraph"/>
              <w:numPr>
                <w:ilvl w:val="0"/>
                <w:numId w:val="12"/>
              </w:numPr>
              <w:spacing w:after="160" w:line="278" w:lineRule="auto"/>
              <w:rPr>
                <w:sz w:val="22"/>
                <w:szCs w:val="22"/>
              </w:rPr>
            </w:pPr>
            <w:r w:rsidRPr="00D8122F">
              <w:rPr>
                <w:b/>
                <w:bCs/>
                <w:sz w:val="22"/>
                <w:szCs w:val="22"/>
              </w:rPr>
              <w:t>Primary</w:t>
            </w:r>
            <w:r w:rsidR="00A3256F" w:rsidRPr="00D8122F">
              <w:rPr>
                <w:b/>
                <w:bCs/>
                <w:sz w:val="22"/>
                <w:szCs w:val="22"/>
              </w:rPr>
              <w:t xml:space="preserve"> </w:t>
            </w:r>
            <w:r w:rsidR="00BD5FE4" w:rsidRPr="00D8122F">
              <w:rPr>
                <w:b/>
                <w:bCs/>
                <w:sz w:val="22"/>
                <w:szCs w:val="22"/>
              </w:rPr>
              <w:t>E</w:t>
            </w:r>
            <w:r w:rsidR="00A3256F" w:rsidRPr="00D8122F">
              <w:rPr>
                <w:b/>
                <w:bCs/>
                <w:sz w:val="22"/>
                <w:szCs w:val="22"/>
              </w:rPr>
              <w:t>ndpoint:</w:t>
            </w:r>
            <w:r w:rsidR="00933BB8" w:rsidRPr="00D8122F">
              <w:rPr>
                <w:sz w:val="22"/>
                <w:szCs w:val="22"/>
              </w:rPr>
              <w:t xml:space="preserve"> </w:t>
            </w:r>
            <w:r w:rsidR="007569DC" w:rsidRPr="00D8122F">
              <w:rPr>
                <w:sz w:val="22"/>
                <w:szCs w:val="22"/>
              </w:rPr>
              <w:t>ACR50 at Week 16</w:t>
            </w:r>
          </w:p>
          <w:p w14:paraId="706735C3" w14:textId="67E91A54" w:rsidR="002B39D5" w:rsidRPr="006830D3" w:rsidRDefault="002B39D5" w:rsidP="00D8122F">
            <w:pPr>
              <w:pStyle w:val="ListParagraph"/>
              <w:numPr>
                <w:ilvl w:val="0"/>
                <w:numId w:val="12"/>
              </w:numPr>
              <w:spacing w:after="160" w:line="278" w:lineRule="auto"/>
              <w:rPr>
                <w:i/>
                <w:color w:val="0070C0"/>
                <w:sz w:val="22"/>
                <w:szCs w:val="22"/>
              </w:rPr>
            </w:pPr>
            <w:r w:rsidRPr="006830D3">
              <w:rPr>
                <w:b/>
                <w:bCs/>
                <w:i/>
                <w:iCs/>
                <w:color w:val="0070C0"/>
                <w:sz w:val="22"/>
                <w:szCs w:val="22"/>
              </w:rPr>
              <w:t>Of note:</w:t>
            </w:r>
            <w:r w:rsidRPr="006830D3">
              <w:rPr>
                <w:i/>
                <w:iCs/>
                <w:color w:val="0070C0"/>
                <w:sz w:val="22"/>
                <w:szCs w:val="22"/>
              </w:rPr>
              <w:t xml:space="preserve"> UCB </w:t>
            </w:r>
            <w:hyperlink r:id="rId17" w:history="1">
              <w:r w:rsidRPr="00C239D6">
                <w:rPr>
                  <w:rStyle w:val="Hyperlink"/>
                  <w:i/>
                  <w:iCs/>
                  <w:sz w:val="22"/>
                  <w:szCs w:val="22"/>
                </w:rPr>
                <w:t>has begun</w:t>
              </w:r>
            </w:hyperlink>
            <w:r w:rsidRPr="006830D3">
              <w:rPr>
                <w:i/>
                <w:iCs/>
                <w:color w:val="0070C0"/>
                <w:sz w:val="22"/>
                <w:szCs w:val="22"/>
              </w:rPr>
              <w:t xml:space="preserve"> referring to </w:t>
            </w:r>
            <w:r w:rsidR="006830D3" w:rsidRPr="006830D3">
              <w:rPr>
                <w:i/>
                <w:iCs/>
                <w:color w:val="0070C0"/>
                <w:sz w:val="22"/>
                <w:szCs w:val="22"/>
              </w:rPr>
              <w:t>BE BOLD as a Phase 4 post-marketing study</w:t>
            </w:r>
          </w:p>
          <w:p w14:paraId="49DE3DB8" w14:textId="5B8C0673" w:rsidR="00BD5FE4" w:rsidRPr="00E81F7F" w:rsidRDefault="00BD5FE4" w:rsidP="00095426">
            <w:pPr>
              <w:pStyle w:val="ListParagraph"/>
              <w:numPr>
                <w:ilvl w:val="0"/>
                <w:numId w:val="8"/>
              </w:numPr>
              <w:spacing w:after="160" w:line="278" w:lineRule="auto"/>
              <w:rPr>
                <w:b/>
                <w:bCs/>
                <w:color w:val="002060"/>
                <w:sz w:val="22"/>
                <w:szCs w:val="22"/>
              </w:rPr>
            </w:pPr>
            <w:r>
              <w:rPr>
                <w:b/>
                <w:bCs/>
                <w:color w:val="171717" w:themeColor="background2" w:themeShade="1A"/>
                <w:sz w:val="22"/>
                <w:szCs w:val="22"/>
              </w:rPr>
              <w:t>Study Results:</w:t>
            </w:r>
          </w:p>
          <w:p w14:paraId="0CBE9563" w14:textId="0F878E7A" w:rsidR="00E81F7F" w:rsidRPr="0049200E" w:rsidRDefault="00E81F7F" w:rsidP="009D1485">
            <w:pPr>
              <w:pStyle w:val="ListParagraph"/>
              <w:numPr>
                <w:ilvl w:val="0"/>
                <w:numId w:val="12"/>
              </w:numPr>
              <w:spacing w:after="160" w:line="278" w:lineRule="auto"/>
              <w:rPr>
                <w:b/>
                <w:bCs/>
                <w:sz w:val="22"/>
                <w:szCs w:val="22"/>
              </w:rPr>
            </w:pPr>
            <w:r w:rsidRPr="00EF54BC">
              <w:rPr>
                <w:b/>
                <w:bCs/>
                <w:sz w:val="22"/>
                <w:szCs w:val="22"/>
              </w:rPr>
              <w:t xml:space="preserve">Efficacy: </w:t>
            </w:r>
            <w:r w:rsidR="00C201CD" w:rsidRPr="0050663B">
              <w:rPr>
                <w:sz w:val="22"/>
                <w:szCs w:val="22"/>
              </w:rPr>
              <w:t xml:space="preserve">No </w:t>
            </w:r>
            <w:r w:rsidR="0049200E" w:rsidRPr="0050663B">
              <w:rPr>
                <w:sz w:val="22"/>
                <w:szCs w:val="22"/>
              </w:rPr>
              <w:t xml:space="preserve">data </w:t>
            </w:r>
            <w:r w:rsidR="00883379">
              <w:rPr>
                <w:sz w:val="22"/>
                <w:szCs w:val="22"/>
              </w:rPr>
              <w:t xml:space="preserve">was </w:t>
            </w:r>
            <w:r w:rsidR="0049200E" w:rsidRPr="0050663B">
              <w:rPr>
                <w:sz w:val="22"/>
                <w:szCs w:val="22"/>
              </w:rPr>
              <w:t>disclosed</w:t>
            </w:r>
            <w:r w:rsidR="00C201CD" w:rsidRPr="0050663B">
              <w:rPr>
                <w:sz w:val="22"/>
                <w:szCs w:val="22"/>
              </w:rPr>
              <w:t xml:space="preserve">, </w:t>
            </w:r>
            <w:r w:rsidR="0050663B" w:rsidRPr="0050663B">
              <w:rPr>
                <w:sz w:val="22"/>
                <w:szCs w:val="22"/>
              </w:rPr>
              <w:t xml:space="preserve">with </w:t>
            </w:r>
            <w:r w:rsidR="00883379">
              <w:rPr>
                <w:sz w:val="22"/>
                <w:szCs w:val="22"/>
              </w:rPr>
              <w:t xml:space="preserve">UCB reporting </w:t>
            </w:r>
            <w:r w:rsidR="0050663B" w:rsidRPr="0050663B">
              <w:rPr>
                <w:sz w:val="22"/>
                <w:szCs w:val="22"/>
              </w:rPr>
              <w:t xml:space="preserve">only </w:t>
            </w:r>
            <w:r w:rsidR="00883379">
              <w:rPr>
                <w:sz w:val="22"/>
                <w:szCs w:val="22"/>
              </w:rPr>
              <w:t xml:space="preserve">that Bimzelx achieved </w:t>
            </w:r>
            <w:r w:rsidR="0050663B" w:rsidRPr="0050663B">
              <w:rPr>
                <w:sz w:val="22"/>
                <w:szCs w:val="22"/>
              </w:rPr>
              <w:t xml:space="preserve">statistically significant superiority </w:t>
            </w:r>
            <w:r w:rsidR="00883379">
              <w:rPr>
                <w:sz w:val="22"/>
                <w:szCs w:val="22"/>
              </w:rPr>
              <w:t xml:space="preserve">vs Skyrizi </w:t>
            </w:r>
            <w:r w:rsidR="0013421D">
              <w:rPr>
                <w:sz w:val="22"/>
                <w:szCs w:val="22"/>
              </w:rPr>
              <w:t>i</w:t>
            </w:r>
            <w:r w:rsidR="00883379">
              <w:rPr>
                <w:sz w:val="22"/>
                <w:szCs w:val="22"/>
              </w:rPr>
              <w:t>n ACR50 at Week</w:t>
            </w:r>
            <w:r w:rsidR="0050663B" w:rsidRPr="0050663B">
              <w:rPr>
                <w:sz w:val="22"/>
                <w:szCs w:val="22"/>
              </w:rPr>
              <w:t xml:space="preserve"> 16</w:t>
            </w:r>
          </w:p>
          <w:p w14:paraId="37049EB9" w14:textId="35177780" w:rsidR="0049200E" w:rsidRPr="00E12767" w:rsidRDefault="0049200E" w:rsidP="009D1485">
            <w:pPr>
              <w:pStyle w:val="ListParagraph"/>
              <w:numPr>
                <w:ilvl w:val="0"/>
                <w:numId w:val="12"/>
              </w:numPr>
              <w:spacing w:after="160" w:line="278" w:lineRule="auto"/>
              <w:rPr>
                <w:b/>
                <w:bCs/>
                <w:sz w:val="22"/>
                <w:szCs w:val="22"/>
              </w:rPr>
            </w:pPr>
            <w:r>
              <w:rPr>
                <w:b/>
                <w:bCs/>
                <w:sz w:val="22"/>
                <w:szCs w:val="22"/>
              </w:rPr>
              <w:t xml:space="preserve">Safety: </w:t>
            </w:r>
            <w:r w:rsidR="00596301" w:rsidRPr="00596301">
              <w:rPr>
                <w:sz w:val="22"/>
                <w:szCs w:val="22"/>
              </w:rPr>
              <w:t>Bimzelx was generally well tolerated through Week 16, with no new safety signals observe</w:t>
            </w:r>
            <w:r w:rsidR="00F73262">
              <w:rPr>
                <w:sz w:val="22"/>
                <w:szCs w:val="22"/>
              </w:rPr>
              <w:t>d</w:t>
            </w:r>
            <w:r w:rsidR="00E12767">
              <w:rPr>
                <w:sz w:val="22"/>
                <w:szCs w:val="22"/>
              </w:rPr>
              <w:t xml:space="preserve"> </w:t>
            </w:r>
          </w:p>
          <w:p w14:paraId="2DE425A7" w14:textId="6B1C5650" w:rsidR="00E12767" w:rsidRPr="00F73262" w:rsidRDefault="00E12767" w:rsidP="00F73262">
            <w:pPr>
              <w:pStyle w:val="ListParagraph"/>
              <w:numPr>
                <w:ilvl w:val="0"/>
                <w:numId w:val="16"/>
              </w:numPr>
              <w:rPr>
                <w:i/>
                <w:iCs/>
                <w:color w:val="0070C0"/>
                <w:sz w:val="22"/>
                <w:szCs w:val="22"/>
              </w:rPr>
            </w:pPr>
            <w:r w:rsidRPr="00F73262">
              <w:rPr>
                <w:i/>
                <w:iCs/>
                <w:color w:val="0070C0"/>
                <w:sz w:val="22"/>
                <w:szCs w:val="22"/>
              </w:rPr>
              <w:t xml:space="preserve">Recall, </w:t>
            </w:r>
            <w:r w:rsidR="008A72F3" w:rsidRPr="008A72F3">
              <w:rPr>
                <w:i/>
                <w:iCs/>
                <w:color w:val="0070C0"/>
                <w:sz w:val="22"/>
                <w:szCs w:val="22"/>
              </w:rPr>
              <w:t>the most frequently reported AE with Bimzelx across PsD, axSpA, and HS is upper respiratory tract infection, while other common AEs in PsA include oral candidiasis, headache, diarrhea, and urinary tract infection</w:t>
            </w:r>
          </w:p>
          <w:p w14:paraId="5F60C8F8" w14:textId="34176EAB" w:rsidR="003B3785" w:rsidRDefault="002551C5" w:rsidP="003B3785">
            <w:pPr>
              <w:pStyle w:val="ListParagraph"/>
              <w:numPr>
                <w:ilvl w:val="0"/>
                <w:numId w:val="14"/>
              </w:numPr>
              <w:rPr>
                <w:b/>
                <w:bCs/>
                <w:sz w:val="22"/>
                <w:szCs w:val="22"/>
              </w:rPr>
            </w:pPr>
            <w:r>
              <w:rPr>
                <w:b/>
                <w:bCs/>
                <w:sz w:val="22"/>
                <w:szCs w:val="22"/>
              </w:rPr>
              <w:t xml:space="preserve">Future </w:t>
            </w:r>
            <w:r w:rsidR="003B3785">
              <w:rPr>
                <w:b/>
                <w:bCs/>
                <w:sz w:val="22"/>
                <w:szCs w:val="22"/>
              </w:rPr>
              <w:t>Outlook:</w:t>
            </w:r>
          </w:p>
          <w:p w14:paraId="4FE91855" w14:textId="670D6367" w:rsidR="003B3785" w:rsidRDefault="00145AD3" w:rsidP="003B3785">
            <w:pPr>
              <w:pStyle w:val="ListParagraph"/>
              <w:numPr>
                <w:ilvl w:val="0"/>
                <w:numId w:val="15"/>
              </w:numPr>
              <w:rPr>
                <w:i/>
                <w:iCs/>
                <w:color w:val="0070C0"/>
                <w:sz w:val="22"/>
                <w:szCs w:val="22"/>
              </w:rPr>
            </w:pPr>
            <w:r w:rsidRPr="00753D3C">
              <w:rPr>
                <w:sz w:val="22"/>
                <w:szCs w:val="22"/>
              </w:rPr>
              <w:t xml:space="preserve">Full BE BOLD H2H data is </w:t>
            </w:r>
            <w:r w:rsidR="00437A91">
              <w:rPr>
                <w:sz w:val="22"/>
                <w:szCs w:val="22"/>
              </w:rPr>
              <w:t xml:space="preserve">expected at a forthcoming </w:t>
            </w:r>
            <w:r w:rsidR="00753D3C" w:rsidRPr="00753D3C">
              <w:rPr>
                <w:sz w:val="22"/>
                <w:szCs w:val="22"/>
              </w:rPr>
              <w:t>international congress</w:t>
            </w:r>
            <w:r w:rsidR="00DE215A">
              <w:rPr>
                <w:sz w:val="22"/>
                <w:szCs w:val="22"/>
              </w:rPr>
              <w:t xml:space="preserve"> with no details disclosed by UCB;</w:t>
            </w:r>
            <w:r w:rsidR="004C0EE0">
              <w:rPr>
                <w:sz w:val="22"/>
                <w:szCs w:val="22"/>
              </w:rPr>
              <w:t xml:space="preserve"> </w:t>
            </w:r>
            <w:r w:rsidR="00E60D97">
              <w:rPr>
                <w:i/>
                <w:iCs/>
                <w:color w:val="0070C0"/>
                <w:sz w:val="22"/>
                <w:szCs w:val="22"/>
              </w:rPr>
              <w:t xml:space="preserve">CI </w:t>
            </w:r>
            <w:r w:rsidR="00162FEA">
              <w:rPr>
                <w:i/>
                <w:iCs/>
                <w:color w:val="0070C0"/>
                <w:sz w:val="22"/>
                <w:szCs w:val="22"/>
              </w:rPr>
              <w:t>anticipates presentation of the full dataset at EULAR 2026</w:t>
            </w:r>
            <w:r w:rsidR="00E60D97">
              <w:rPr>
                <w:i/>
                <w:iCs/>
                <w:color w:val="0070C0"/>
                <w:sz w:val="22"/>
                <w:szCs w:val="22"/>
              </w:rPr>
              <w:t xml:space="preserve"> </w:t>
            </w:r>
          </w:p>
          <w:p w14:paraId="70A939F6" w14:textId="5402E526" w:rsidR="002551C5" w:rsidRDefault="00183412" w:rsidP="003B3785">
            <w:pPr>
              <w:pStyle w:val="ListParagraph"/>
              <w:numPr>
                <w:ilvl w:val="0"/>
                <w:numId w:val="15"/>
              </w:numPr>
              <w:rPr>
                <w:i/>
                <w:iCs/>
                <w:color w:val="0070C0"/>
                <w:sz w:val="22"/>
                <w:szCs w:val="22"/>
              </w:rPr>
            </w:pPr>
            <w:r>
              <w:rPr>
                <w:b/>
                <w:bCs/>
                <w:sz w:val="22"/>
                <w:szCs w:val="22"/>
              </w:rPr>
              <w:t>jPsA</w:t>
            </w:r>
            <w:r w:rsidR="00786E1E">
              <w:rPr>
                <w:b/>
                <w:bCs/>
                <w:sz w:val="22"/>
                <w:szCs w:val="22"/>
              </w:rPr>
              <w:t xml:space="preserve"> and </w:t>
            </w:r>
            <w:r w:rsidR="00C43812">
              <w:rPr>
                <w:b/>
                <w:bCs/>
                <w:sz w:val="22"/>
                <w:szCs w:val="22"/>
              </w:rPr>
              <w:t>jAS</w:t>
            </w:r>
            <w:r w:rsidR="00432D89">
              <w:rPr>
                <w:b/>
                <w:bCs/>
                <w:sz w:val="22"/>
                <w:szCs w:val="22"/>
              </w:rPr>
              <w:t xml:space="preserve">: </w:t>
            </w:r>
            <w:hyperlink r:id="rId18" w:history="1">
              <w:r w:rsidR="007A6A29" w:rsidRPr="00BA0FD7">
                <w:rPr>
                  <w:rStyle w:val="Hyperlink"/>
                  <w:sz w:val="22"/>
                  <w:szCs w:val="22"/>
                </w:rPr>
                <w:t>Ph</w:t>
              </w:r>
              <w:r w:rsidR="00675437" w:rsidRPr="00BA0FD7">
                <w:rPr>
                  <w:rStyle w:val="Hyperlink"/>
                  <w:sz w:val="22"/>
                  <w:szCs w:val="22"/>
                </w:rPr>
                <w:t xml:space="preserve">ase </w:t>
              </w:r>
              <w:r w:rsidR="007A6A29" w:rsidRPr="00BA0FD7">
                <w:rPr>
                  <w:rStyle w:val="Hyperlink"/>
                  <w:sz w:val="22"/>
                  <w:szCs w:val="22"/>
                </w:rPr>
                <w:t>3</w:t>
              </w:r>
            </w:hyperlink>
            <w:r w:rsidR="007A6A29" w:rsidRPr="00BA0FD7">
              <w:rPr>
                <w:sz w:val="22"/>
                <w:szCs w:val="22"/>
              </w:rPr>
              <w:t xml:space="preserve"> </w:t>
            </w:r>
            <w:r w:rsidR="00675437" w:rsidRPr="00BA0FD7">
              <w:rPr>
                <w:sz w:val="22"/>
                <w:szCs w:val="22"/>
              </w:rPr>
              <w:t>ongoing (PCD</w:t>
            </w:r>
            <w:r w:rsidR="00BA0FD7" w:rsidRPr="00BA0FD7">
              <w:rPr>
                <w:sz w:val="22"/>
                <w:szCs w:val="22"/>
              </w:rPr>
              <w:t xml:space="preserve"> April 2026)</w:t>
            </w:r>
            <w:r w:rsidR="00BA0FD7">
              <w:rPr>
                <w:sz w:val="22"/>
                <w:szCs w:val="22"/>
              </w:rPr>
              <w:t xml:space="preserve">; </w:t>
            </w:r>
            <w:r w:rsidR="00865527">
              <w:rPr>
                <w:sz w:val="22"/>
                <w:szCs w:val="22"/>
              </w:rPr>
              <w:t>to</w:t>
            </w:r>
            <w:r w:rsidR="00DE0AED">
              <w:rPr>
                <w:sz w:val="22"/>
                <w:szCs w:val="22"/>
              </w:rPr>
              <w:t xml:space="preserve">pline results </w:t>
            </w:r>
            <w:r w:rsidR="006A4425">
              <w:rPr>
                <w:sz w:val="22"/>
                <w:szCs w:val="22"/>
              </w:rPr>
              <w:t>anticipated in Q2 202</w:t>
            </w:r>
            <w:r w:rsidR="00FF2889">
              <w:rPr>
                <w:sz w:val="22"/>
                <w:szCs w:val="22"/>
              </w:rPr>
              <w:t>8</w:t>
            </w:r>
          </w:p>
          <w:p w14:paraId="08A13ADC" w14:textId="637D8E97" w:rsidR="00207EF5" w:rsidRPr="005B1D8C" w:rsidRDefault="000766B2" w:rsidP="00207EF5">
            <w:pPr>
              <w:pStyle w:val="ListParagraph"/>
              <w:numPr>
                <w:ilvl w:val="0"/>
                <w:numId w:val="16"/>
              </w:numPr>
              <w:rPr>
                <w:i/>
                <w:iCs/>
                <w:color w:val="0070C0"/>
                <w:sz w:val="22"/>
                <w:szCs w:val="22"/>
              </w:rPr>
            </w:pPr>
            <w:r w:rsidRPr="000766B2">
              <w:rPr>
                <w:i/>
                <w:iCs/>
                <w:color w:val="0070C0"/>
                <w:sz w:val="22"/>
                <w:szCs w:val="22"/>
              </w:rPr>
              <w:t xml:space="preserve">CI </w:t>
            </w:r>
            <w:r>
              <w:rPr>
                <w:i/>
                <w:iCs/>
                <w:color w:val="0070C0"/>
                <w:sz w:val="22"/>
                <w:szCs w:val="22"/>
              </w:rPr>
              <w:t xml:space="preserve">estimates </w:t>
            </w:r>
            <w:r w:rsidRPr="000766B2">
              <w:rPr>
                <w:i/>
                <w:iCs/>
                <w:color w:val="0070C0"/>
                <w:sz w:val="22"/>
                <w:szCs w:val="22"/>
              </w:rPr>
              <w:t>US/EU approval in Q2 2029, based on supplemental review assumptions</w:t>
            </w:r>
          </w:p>
          <w:p w14:paraId="65A797CC" w14:textId="0E1DD7B2" w:rsidR="004078F2" w:rsidRPr="00D33E0F" w:rsidRDefault="005D1A31" w:rsidP="004078F2">
            <w:pPr>
              <w:pStyle w:val="ListParagraph"/>
              <w:numPr>
                <w:ilvl w:val="0"/>
                <w:numId w:val="17"/>
              </w:numPr>
              <w:rPr>
                <w:b/>
                <w:sz w:val="22"/>
                <w:szCs w:val="22"/>
              </w:rPr>
            </w:pPr>
            <w:r>
              <w:rPr>
                <w:b/>
                <w:bCs/>
                <w:sz w:val="22"/>
                <w:szCs w:val="22"/>
              </w:rPr>
              <w:t xml:space="preserve">Pediatric </w:t>
            </w:r>
            <w:r w:rsidR="00377D0D" w:rsidRPr="00D33E0F">
              <w:rPr>
                <w:b/>
                <w:bCs/>
                <w:sz w:val="22"/>
                <w:szCs w:val="22"/>
              </w:rPr>
              <w:t>PsO</w:t>
            </w:r>
            <w:r w:rsidR="00D33E0F" w:rsidRPr="00D33E0F">
              <w:rPr>
                <w:b/>
                <w:bCs/>
                <w:sz w:val="22"/>
                <w:szCs w:val="22"/>
              </w:rPr>
              <w:t xml:space="preserve">: </w:t>
            </w:r>
            <w:hyperlink r:id="rId19" w:history="1">
              <w:r w:rsidR="00D33E0F" w:rsidRPr="00850992">
                <w:rPr>
                  <w:rStyle w:val="Hyperlink"/>
                  <w:sz w:val="22"/>
                  <w:szCs w:val="22"/>
                </w:rPr>
                <w:t>BE-TOGETHER</w:t>
              </w:r>
            </w:hyperlink>
            <w:r w:rsidR="00D33E0F" w:rsidRPr="001D6BCC">
              <w:rPr>
                <w:sz w:val="22"/>
                <w:szCs w:val="22"/>
              </w:rPr>
              <w:t xml:space="preserve"> Phase 3 study ongoing</w:t>
            </w:r>
            <w:r w:rsidR="001D6BCC">
              <w:rPr>
                <w:sz w:val="22"/>
                <w:szCs w:val="22"/>
              </w:rPr>
              <w:t xml:space="preserve"> (</w:t>
            </w:r>
            <w:r w:rsidR="00666669">
              <w:rPr>
                <w:sz w:val="22"/>
                <w:szCs w:val="22"/>
              </w:rPr>
              <w:t>PCD August 2028)</w:t>
            </w:r>
            <w:r w:rsidR="00FF2889">
              <w:rPr>
                <w:sz w:val="22"/>
                <w:szCs w:val="22"/>
              </w:rPr>
              <w:t>; topline results anticipated in Q4 2028</w:t>
            </w:r>
          </w:p>
          <w:p w14:paraId="5CC2E76F" w14:textId="24448C7B" w:rsidR="005B1D8C" w:rsidRPr="005821F7" w:rsidRDefault="00FF2889" w:rsidP="005821F7">
            <w:pPr>
              <w:pStyle w:val="ListParagraph"/>
              <w:numPr>
                <w:ilvl w:val="0"/>
                <w:numId w:val="16"/>
              </w:numPr>
              <w:rPr>
                <w:i/>
                <w:iCs/>
                <w:color w:val="0070C0"/>
                <w:sz w:val="22"/>
                <w:szCs w:val="22"/>
              </w:rPr>
            </w:pPr>
            <w:r w:rsidRPr="00FF2889">
              <w:rPr>
                <w:i/>
                <w:iCs/>
                <w:color w:val="0070C0"/>
                <w:sz w:val="22"/>
                <w:szCs w:val="22"/>
              </w:rPr>
              <w:t xml:space="preserve">CI estimates US </w:t>
            </w:r>
            <w:r w:rsidR="00B24AA7">
              <w:rPr>
                <w:i/>
                <w:iCs/>
                <w:color w:val="0070C0"/>
                <w:sz w:val="22"/>
                <w:szCs w:val="22"/>
              </w:rPr>
              <w:t xml:space="preserve">and EU </w:t>
            </w:r>
            <w:r w:rsidRPr="00FF2889">
              <w:rPr>
                <w:i/>
                <w:iCs/>
                <w:color w:val="0070C0"/>
                <w:sz w:val="22"/>
                <w:szCs w:val="22"/>
              </w:rPr>
              <w:t>approval in Q</w:t>
            </w:r>
            <w:r w:rsidR="00906D58">
              <w:rPr>
                <w:i/>
                <w:iCs/>
                <w:color w:val="0070C0"/>
                <w:sz w:val="22"/>
                <w:szCs w:val="22"/>
              </w:rPr>
              <w:t>3</w:t>
            </w:r>
            <w:r w:rsidRPr="00FF2889">
              <w:rPr>
                <w:i/>
                <w:iCs/>
                <w:color w:val="0070C0"/>
                <w:sz w:val="22"/>
                <w:szCs w:val="22"/>
              </w:rPr>
              <w:t xml:space="preserve"> 2029</w:t>
            </w:r>
            <w:r w:rsidR="00B24AA7">
              <w:rPr>
                <w:i/>
                <w:iCs/>
                <w:color w:val="0070C0"/>
                <w:sz w:val="22"/>
                <w:szCs w:val="22"/>
              </w:rPr>
              <w:t xml:space="preserve"> and Q4 2029</w:t>
            </w:r>
            <w:r w:rsidR="00520966">
              <w:rPr>
                <w:i/>
                <w:iCs/>
                <w:color w:val="0070C0"/>
                <w:sz w:val="22"/>
                <w:szCs w:val="22"/>
              </w:rPr>
              <w:t>,</w:t>
            </w:r>
            <w:r w:rsidR="00B24AA7">
              <w:rPr>
                <w:i/>
                <w:iCs/>
                <w:color w:val="0070C0"/>
                <w:sz w:val="22"/>
                <w:szCs w:val="22"/>
              </w:rPr>
              <w:t xml:space="preserve"> respectively</w:t>
            </w:r>
            <w:r w:rsidR="00520966">
              <w:rPr>
                <w:i/>
                <w:iCs/>
                <w:color w:val="0070C0"/>
                <w:sz w:val="22"/>
                <w:szCs w:val="22"/>
              </w:rPr>
              <w:t xml:space="preserve">, based on </w:t>
            </w:r>
            <w:r w:rsidR="00B24AA7">
              <w:rPr>
                <w:i/>
                <w:iCs/>
                <w:color w:val="0070C0"/>
                <w:sz w:val="22"/>
                <w:szCs w:val="22"/>
              </w:rPr>
              <w:t xml:space="preserve">supplemental </w:t>
            </w:r>
            <w:r w:rsidR="00DB1966">
              <w:rPr>
                <w:i/>
                <w:iCs/>
                <w:color w:val="0070C0"/>
                <w:sz w:val="22"/>
                <w:szCs w:val="22"/>
              </w:rPr>
              <w:t xml:space="preserve">review </w:t>
            </w:r>
            <w:r w:rsidR="00B24AA7">
              <w:rPr>
                <w:i/>
                <w:iCs/>
                <w:color w:val="0070C0"/>
                <w:sz w:val="22"/>
                <w:szCs w:val="22"/>
              </w:rPr>
              <w:t>assumptions</w:t>
            </w:r>
          </w:p>
          <w:p w14:paraId="6F63F22F" w14:textId="77777777" w:rsidR="002E6873" w:rsidRPr="004C0EE0" w:rsidRDefault="002E6873" w:rsidP="002E6873">
            <w:pPr>
              <w:rPr>
                <w:i/>
                <w:iCs/>
                <w:color w:val="0070C0"/>
                <w:sz w:val="22"/>
                <w:szCs w:val="22"/>
              </w:rPr>
            </w:pP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20">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1"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2">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5">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6">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27">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8">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9E5"/>
    <w:multiLevelType w:val="hybridMultilevel"/>
    <w:tmpl w:val="BF26BF0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55412D9"/>
    <w:multiLevelType w:val="hybridMultilevel"/>
    <w:tmpl w:val="91D0799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3" w15:restartNumberingAfterBreak="0">
    <w:nsid w:val="109270C6"/>
    <w:multiLevelType w:val="hybridMultilevel"/>
    <w:tmpl w:val="4CB2C48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16FE3B5A"/>
    <w:multiLevelType w:val="hybridMultilevel"/>
    <w:tmpl w:val="3C1685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90377B"/>
    <w:multiLevelType w:val="hybridMultilevel"/>
    <w:tmpl w:val="64A6CF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D5B5160"/>
    <w:multiLevelType w:val="hybridMultilevel"/>
    <w:tmpl w:val="2180ADF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A9016BC"/>
    <w:multiLevelType w:val="hybridMultilevel"/>
    <w:tmpl w:val="9A425A2A"/>
    <w:lvl w:ilvl="0" w:tplc="99E467B4">
      <w:start w:val="1"/>
      <w:numFmt w:val="bullet"/>
      <w:lvlText w:val="o"/>
      <w:lvlJc w:val="left"/>
      <w:pPr>
        <w:ind w:left="1440" w:hanging="360"/>
      </w:pPr>
      <w:rPr>
        <w:rFonts w:ascii="Courier New" w:hAnsi="Courier New" w:cs="Courier New"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204706B"/>
    <w:multiLevelType w:val="hybridMultilevel"/>
    <w:tmpl w:val="06D8E40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77D2C"/>
    <w:multiLevelType w:val="hybridMultilevel"/>
    <w:tmpl w:val="275C66DA"/>
    <w:lvl w:ilvl="0" w:tplc="4894A638">
      <w:start w:val="1"/>
      <w:numFmt w:val="bullet"/>
      <w:lvlText w:val="o"/>
      <w:lvlJc w:val="left"/>
      <w:pPr>
        <w:ind w:left="1440" w:hanging="360"/>
      </w:pPr>
      <w:rPr>
        <w:rFonts w:ascii="Courier New" w:hAnsi="Courier New" w:cs="Courier New"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48F77E6"/>
    <w:multiLevelType w:val="hybridMultilevel"/>
    <w:tmpl w:val="163E94B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6405FA6"/>
    <w:multiLevelType w:val="hybridMultilevel"/>
    <w:tmpl w:val="7E3653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8817AC8"/>
    <w:multiLevelType w:val="hybridMultilevel"/>
    <w:tmpl w:val="31841FB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6B4D2BF5"/>
    <w:multiLevelType w:val="hybridMultilevel"/>
    <w:tmpl w:val="353A4656"/>
    <w:lvl w:ilvl="0" w:tplc="D96EEC94">
      <w:start w:val="1"/>
      <w:numFmt w:val="decimal"/>
      <w:lvlText w:val="%1)"/>
      <w:lvlJc w:val="left"/>
      <w:pPr>
        <w:ind w:left="1080" w:hanging="360"/>
      </w:pPr>
    </w:lvl>
    <w:lvl w:ilvl="1" w:tplc="70247920">
      <w:start w:val="1"/>
      <w:numFmt w:val="decimal"/>
      <w:lvlText w:val="%2)"/>
      <w:lvlJc w:val="left"/>
      <w:pPr>
        <w:ind w:left="1080" w:hanging="360"/>
      </w:pPr>
    </w:lvl>
    <w:lvl w:ilvl="2" w:tplc="1B607814">
      <w:start w:val="1"/>
      <w:numFmt w:val="decimal"/>
      <w:lvlText w:val="%3)"/>
      <w:lvlJc w:val="left"/>
      <w:pPr>
        <w:ind w:left="1080" w:hanging="360"/>
      </w:pPr>
    </w:lvl>
    <w:lvl w:ilvl="3" w:tplc="2BD87D4E">
      <w:start w:val="1"/>
      <w:numFmt w:val="decimal"/>
      <w:lvlText w:val="%4)"/>
      <w:lvlJc w:val="left"/>
      <w:pPr>
        <w:ind w:left="1080" w:hanging="360"/>
      </w:pPr>
    </w:lvl>
    <w:lvl w:ilvl="4" w:tplc="9202C056">
      <w:start w:val="1"/>
      <w:numFmt w:val="decimal"/>
      <w:lvlText w:val="%5)"/>
      <w:lvlJc w:val="left"/>
      <w:pPr>
        <w:ind w:left="1080" w:hanging="360"/>
      </w:pPr>
    </w:lvl>
    <w:lvl w:ilvl="5" w:tplc="42AC43C8">
      <w:start w:val="1"/>
      <w:numFmt w:val="decimal"/>
      <w:lvlText w:val="%6)"/>
      <w:lvlJc w:val="left"/>
      <w:pPr>
        <w:ind w:left="1080" w:hanging="360"/>
      </w:pPr>
    </w:lvl>
    <w:lvl w:ilvl="6" w:tplc="C972C5EA">
      <w:start w:val="1"/>
      <w:numFmt w:val="decimal"/>
      <w:lvlText w:val="%7)"/>
      <w:lvlJc w:val="left"/>
      <w:pPr>
        <w:ind w:left="1080" w:hanging="360"/>
      </w:pPr>
    </w:lvl>
    <w:lvl w:ilvl="7" w:tplc="50D0C744">
      <w:start w:val="1"/>
      <w:numFmt w:val="decimal"/>
      <w:lvlText w:val="%8)"/>
      <w:lvlJc w:val="left"/>
      <w:pPr>
        <w:ind w:left="1080" w:hanging="360"/>
      </w:pPr>
    </w:lvl>
    <w:lvl w:ilvl="8" w:tplc="1FDA69D8">
      <w:start w:val="1"/>
      <w:numFmt w:val="decimal"/>
      <w:lvlText w:val="%9)"/>
      <w:lvlJc w:val="left"/>
      <w:pPr>
        <w:ind w:left="1080" w:hanging="360"/>
      </w:pPr>
    </w:lvl>
  </w:abstractNum>
  <w:abstractNum w:abstractNumId="15" w15:restartNumberingAfterBreak="0">
    <w:nsid w:val="6D1106C9"/>
    <w:multiLevelType w:val="hybridMultilevel"/>
    <w:tmpl w:val="09820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534F93"/>
    <w:multiLevelType w:val="hybridMultilevel"/>
    <w:tmpl w:val="0FAA65A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366764156">
    <w:abstractNumId w:val="9"/>
  </w:num>
  <w:num w:numId="2" w16cid:durableId="1425108719">
    <w:abstractNumId w:val="17"/>
  </w:num>
  <w:num w:numId="3" w16cid:durableId="1255942747">
    <w:abstractNumId w:val="2"/>
  </w:num>
  <w:num w:numId="4" w16cid:durableId="1203975528">
    <w:abstractNumId w:val="6"/>
  </w:num>
  <w:num w:numId="5" w16cid:durableId="2101171156">
    <w:abstractNumId w:val="8"/>
  </w:num>
  <w:num w:numId="6" w16cid:durableId="199902545">
    <w:abstractNumId w:val="1"/>
  </w:num>
  <w:num w:numId="7" w16cid:durableId="42995432">
    <w:abstractNumId w:val="0"/>
  </w:num>
  <w:num w:numId="8" w16cid:durableId="1591962297">
    <w:abstractNumId w:val="4"/>
  </w:num>
  <w:num w:numId="9" w16cid:durableId="673262764">
    <w:abstractNumId w:val="16"/>
  </w:num>
  <w:num w:numId="10" w16cid:durableId="2139452094">
    <w:abstractNumId w:val="11"/>
  </w:num>
  <w:num w:numId="11" w16cid:durableId="826366473">
    <w:abstractNumId w:val="12"/>
  </w:num>
  <w:num w:numId="12" w16cid:durableId="1638954075">
    <w:abstractNumId w:val="5"/>
  </w:num>
  <w:num w:numId="13" w16cid:durableId="392241139">
    <w:abstractNumId w:val="13"/>
  </w:num>
  <w:num w:numId="14" w16cid:durableId="735510683">
    <w:abstractNumId w:val="15"/>
  </w:num>
  <w:num w:numId="15" w16cid:durableId="482279518">
    <w:abstractNumId w:val="10"/>
  </w:num>
  <w:num w:numId="16" w16cid:durableId="2085910259">
    <w:abstractNumId w:val="3"/>
  </w:num>
  <w:num w:numId="17" w16cid:durableId="1284190768">
    <w:abstractNumId w:val="7"/>
  </w:num>
  <w:num w:numId="18" w16cid:durableId="20735798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0889"/>
    <w:rsid w:val="00000DBE"/>
    <w:rsid w:val="00000E7A"/>
    <w:rsid w:val="00003266"/>
    <w:rsid w:val="00004B7F"/>
    <w:rsid w:val="000075AE"/>
    <w:rsid w:val="0001479E"/>
    <w:rsid w:val="0001559C"/>
    <w:rsid w:val="00017A79"/>
    <w:rsid w:val="000223E5"/>
    <w:rsid w:val="0002703C"/>
    <w:rsid w:val="00027DD9"/>
    <w:rsid w:val="00030E96"/>
    <w:rsid w:val="000337EE"/>
    <w:rsid w:val="00036BE8"/>
    <w:rsid w:val="00040244"/>
    <w:rsid w:val="00041421"/>
    <w:rsid w:val="00041818"/>
    <w:rsid w:val="00041A63"/>
    <w:rsid w:val="000426C7"/>
    <w:rsid w:val="0004285C"/>
    <w:rsid w:val="00042E6E"/>
    <w:rsid w:val="00043219"/>
    <w:rsid w:val="00046E3E"/>
    <w:rsid w:val="00047C5B"/>
    <w:rsid w:val="0005110A"/>
    <w:rsid w:val="000522EC"/>
    <w:rsid w:val="00055E20"/>
    <w:rsid w:val="000565F0"/>
    <w:rsid w:val="00056F11"/>
    <w:rsid w:val="000671A0"/>
    <w:rsid w:val="0007156E"/>
    <w:rsid w:val="00072144"/>
    <w:rsid w:val="00074333"/>
    <w:rsid w:val="00074539"/>
    <w:rsid w:val="000765C7"/>
    <w:rsid w:val="000766B2"/>
    <w:rsid w:val="00092659"/>
    <w:rsid w:val="00093C0B"/>
    <w:rsid w:val="00094D07"/>
    <w:rsid w:val="000950EE"/>
    <w:rsid w:val="0009539D"/>
    <w:rsid w:val="00095426"/>
    <w:rsid w:val="000958CC"/>
    <w:rsid w:val="00095EE6"/>
    <w:rsid w:val="00097418"/>
    <w:rsid w:val="000A11D9"/>
    <w:rsid w:val="000A1833"/>
    <w:rsid w:val="000A350C"/>
    <w:rsid w:val="000A4247"/>
    <w:rsid w:val="000A47AF"/>
    <w:rsid w:val="000A73E4"/>
    <w:rsid w:val="000B1C86"/>
    <w:rsid w:val="000B20DB"/>
    <w:rsid w:val="000B36BB"/>
    <w:rsid w:val="000B525E"/>
    <w:rsid w:val="000B64EA"/>
    <w:rsid w:val="000B6597"/>
    <w:rsid w:val="000B7F84"/>
    <w:rsid w:val="000C111C"/>
    <w:rsid w:val="000C4963"/>
    <w:rsid w:val="000D1276"/>
    <w:rsid w:val="000D3B88"/>
    <w:rsid w:val="000D5B46"/>
    <w:rsid w:val="000D5DC6"/>
    <w:rsid w:val="000D7762"/>
    <w:rsid w:val="000E6BDC"/>
    <w:rsid w:val="000F1AE6"/>
    <w:rsid w:val="000F6344"/>
    <w:rsid w:val="000F6B35"/>
    <w:rsid w:val="00101C62"/>
    <w:rsid w:val="001030E9"/>
    <w:rsid w:val="00105672"/>
    <w:rsid w:val="0010652E"/>
    <w:rsid w:val="00106DC2"/>
    <w:rsid w:val="001111ED"/>
    <w:rsid w:val="00111F26"/>
    <w:rsid w:val="001165A7"/>
    <w:rsid w:val="001169DC"/>
    <w:rsid w:val="00116E17"/>
    <w:rsid w:val="00120391"/>
    <w:rsid w:val="001215E9"/>
    <w:rsid w:val="0012270A"/>
    <w:rsid w:val="00123EC4"/>
    <w:rsid w:val="00124416"/>
    <w:rsid w:val="00125906"/>
    <w:rsid w:val="0012621C"/>
    <w:rsid w:val="0013421D"/>
    <w:rsid w:val="001350CC"/>
    <w:rsid w:val="00135555"/>
    <w:rsid w:val="00140E96"/>
    <w:rsid w:val="00142FBE"/>
    <w:rsid w:val="00143584"/>
    <w:rsid w:val="00145AD3"/>
    <w:rsid w:val="00146C5F"/>
    <w:rsid w:val="00151D87"/>
    <w:rsid w:val="00153944"/>
    <w:rsid w:val="0015433B"/>
    <w:rsid w:val="00155DF7"/>
    <w:rsid w:val="001572B1"/>
    <w:rsid w:val="001600E7"/>
    <w:rsid w:val="00162FEA"/>
    <w:rsid w:val="00163C71"/>
    <w:rsid w:val="001673F0"/>
    <w:rsid w:val="00170AEA"/>
    <w:rsid w:val="001738B3"/>
    <w:rsid w:val="00183412"/>
    <w:rsid w:val="00185947"/>
    <w:rsid w:val="00186709"/>
    <w:rsid w:val="00186ACA"/>
    <w:rsid w:val="00187E4E"/>
    <w:rsid w:val="00187E83"/>
    <w:rsid w:val="0019135E"/>
    <w:rsid w:val="00194DF1"/>
    <w:rsid w:val="001972A4"/>
    <w:rsid w:val="001A2725"/>
    <w:rsid w:val="001A37CC"/>
    <w:rsid w:val="001A3AA9"/>
    <w:rsid w:val="001A3DC9"/>
    <w:rsid w:val="001A42CD"/>
    <w:rsid w:val="001C1182"/>
    <w:rsid w:val="001C761E"/>
    <w:rsid w:val="001D1E48"/>
    <w:rsid w:val="001D224B"/>
    <w:rsid w:val="001D41A8"/>
    <w:rsid w:val="001D5C92"/>
    <w:rsid w:val="001D6BCC"/>
    <w:rsid w:val="001E681C"/>
    <w:rsid w:val="001E7943"/>
    <w:rsid w:val="001F128F"/>
    <w:rsid w:val="001F2A16"/>
    <w:rsid w:val="001F5F2B"/>
    <w:rsid w:val="001F701F"/>
    <w:rsid w:val="001F79B3"/>
    <w:rsid w:val="002003F1"/>
    <w:rsid w:val="0020631F"/>
    <w:rsid w:val="0020656C"/>
    <w:rsid w:val="00207EF5"/>
    <w:rsid w:val="002101EE"/>
    <w:rsid w:val="00210C87"/>
    <w:rsid w:val="00210E11"/>
    <w:rsid w:val="00211173"/>
    <w:rsid w:val="002139CA"/>
    <w:rsid w:val="00215ED1"/>
    <w:rsid w:val="002173CD"/>
    <w:rsid w:val="00221B79"/>
    <w:rsid w:val="00221B84"/>
    <w:rsid w:val="00221F6C"/>
    <w:rsid w:val="00222303"/>
    <w:rsid w:val="00223C59"/>
    <w:rsid w:val="00224DD9"/>
    <w:rsid w:val="0022514C"/>
    <w:rsid w:val="00225F85"/>
    <w:rsid w:val="00231DFF"/>
    <w:rsid w:val="00233EC4"/>
    <w:rsid w:val="00235B5D"/>
    <w:rsid w:val="0023692C"/>
    <w:rsid w:val="0024298A"/>
    <w:rsid w:val="00243862"/>
    <w:rsid w:val="00245EB5"/>
    <w:rsid w:val="002474C6"/>
    <w:rsid w:val="002511FB"/>
    <w:rsid w:val="00254315"/>
    <w:rsid w:val="00254EBA"/>
    <w:rsid w:val="002551C5"/>
    <w:rsid w:val="002561BC"/>
    <w:rsid w:val="00256EA9"/>
    <w:rsid w:val="0026523E"/>
    <w:rsid w:val="00270081"/>
    <w:rsid w:val="00271BEF"/>
    <w:rsid w:val="00272FBC"/>
    <w:rsid w:val="00273DBD"/>
    <w:rsid w:val="00275822"/>
    <w:rsid w:val="002767C8"/>
    <w:rsid w:val="00281C9D"/>
    <w:rsid w:val="00286BA8"/>
    <w:rsid w:val="0028774F"/>
    <w:rsid w:val="00294BA4"/>
    <w:rsid w:val="00296DAA"/>
    <w:rsid w:val="002A195B"/>
    <w:rsid w:val="002A55C9"/>
    <w:rsid w:val="002A6CB1"/>
    <w:rsid w:val="002A70E9"/>
    <w:rsid w:val="002B34E3"/>
    <w:rsid w:val="002B359B"/>
    <w:rsid w:val="002B39D5"/>
    <w:rsid w:val="002B3C19"/>
    <w:rsid w:val="002B3D5C"/>
    <w:rsid w:val="002B7396"/>
    <w:rsid w:val="002C1254"/>
    <w:rsid w:val="002C2D65"/>
    <w:rsid w:val="002C42DF"/>
    <w:rsid w:val="002C4C98"/>
    <w:rsid w:val="002C4EF6"/>
    <w:rsid w:val="002D04C8"/>
    <w:rsid w:val="002D37F9"/>
    <w:rsid w:val="002E29BA"/>
    <w:rsid w:val="002E41E1"/>
    <w:rsid w:val="002E5568"/>
    <w:rsid w:val="002E602D"/>
    <w:rsid w:val="002E6873"/>
    <w:rsid w:val="002E79B5"/>
    <w:rsid w:val="002E7B80"/>
    <w:rsid w:val="002F343D"/>
    <w:rsid w:val="002F4B14"/>
    <w:rsid w:val="002F7CF0"/>
    <w:rsid w:val="003041BF"/>
    <w:rsid w:val="00305C46"/>
    <w:rsid w:val="00310F7C"/>
    <w:rsid w:val="003115E6"/>
    <w:rsid w:val="003124F7"/>
    <w:rsid w:val="00312523"/>
    <w:rsid w:val="00315590"/>
    <w:rsid w:val="00315EC1"/>
    <w:rsid w:val="00316159"/>
    <w:rsid w:val="0031704F"/>
    <w:rsid w:val="003231D2"/>
    <w:rsid w:val="00324970"/>
    <w:rsid w:val="003256F9"/>
    <w:rsid w:val="00330177"/>
    <w:rsid w:val="00331521"/>
    <w:rsid w:val="00332BAF"/>
    <w:rsid w:val="003415C3"/>
    <w:rsid w:val="00342152"/>
    <w:rsid w:val="00344DC7"/>
    <w:rsid w:val="00344F17"/>
    <w:rsid w:val="00360374"/>
    <w:rsid w:val="00365649"/>
    <w:rsid w:val="00365D80"/>
    <w:rsid w:val="00365E14"/>
    <w:rsid w:val="00366CE6"/>
    <w:rsid w:val="00366E42"/>
    <w:rsid w:val="00367ECD"/>
    <w:rsid w:val="00375F19"/>
    <w:rsid w:val="003761A7"/>
    <w:rsid w:val="00377322"/>
    <w:rsid w:val="00377D0D"/>
    <w:rsid w:val="00380A0E"/>
    <w:rsid w:val="0038151C"/>
    <w:rsid w:val="00383692"/>
    <w:rsid w:val="00390257"/>
    <w:rsid w:val="00391A6B"/>
    <w:rsid w:val="00395FAC"/>
    <w:rsid w:val="00397036"/>
    <w:rsid w:val="003973B3"/>
    <w:rsid w:val="003A3028"/>
    <w:rsid w:val="003A584F"/>
    <w:rsid w:val="003A5CFF"/>
    <w:rsid w:val="003A6D63"/>
    <w:rsid w:val="003B1152"/>
    <w:rsid w:val="003B3785"/>
    <w:rsid w:val="003B4E06"/>
    <w:rsid w:val="003B5725"/>
    <w:rsid w:val="003C2028"/>
    <w:rsid w:val="003C6764"/>
    <w:rsid w:val="003D33CE"/>
    <w:rsid w:val="003D399D"/>
    <w:rsid w:val="003D3D13"/>
    <w:rsid w:val="003D5C10"/>
    <w:rsid w:val="003D6AC2"/>
    <w:rsid w:val="003D6DDA"/>
    <w:rsid w:val="003E17EE"/>
    <w:rsid w:val="003E1B55"/>
    <w:rsid w:val="003E34E9"/>
    <w:rsid w:val="003F5EDB"/>
    <w:rsid w:val="003F6E31"/>
    <w:rsid w:val="003F7618"/>
    <w:rsid w:val="004025E3"/>
    <w:rsid w:val="00402BC2"/>
    <w:rsid w:val="004045DE"/>
    <w:rsid w:val="004074C5"/>
    <w:rsid w:val="004078F2"/>
    <w:rsid w:val="00413E83"/>
    <w:rsid w:val="0042274B"/>
    <w:rsid w:val="004314D2"/>
    <w:rsid w:val="00431BF6"/>
    <w:rsid w:val="00432D89"/>
    <w:rsid w:val="00433056"/>
    <w:rsid w:val="0043390C"/>
    <w:rsid w:val="004348EB"/>
    <w:rsid w:val="00436899"/>
    <w:rsid w:val="00436E80"/>
    <w:rsid w:val="00437A91"/>
    <w:rsid w:val="00440550"/>
    <w:rsid w:val="00444624"/>
    <w:rsid w:val="00446CAC"/>
    <w:rsid w:val="00452601"/>
    <w:rsid w:val="00452C21"/>
    <w:rsid w:val="00460F41"/>
    <w:rsid w:val="00466F47"/>
    <w:rsid w:val="00470E22"/>
    <w:rsid w:val="00472D81"/>
    <w:rsid w:val="00475636"/>
    <w:rsid w:val="00475926"/>
    <w:rsid w:val="00476DF9"/>
    <w:rsid w:val="004858BE"/>
    <w:rsid w:val="00487BB9"/>
    <w:rsid w:val="0049200E"/>
    <w:rsid w:val="00492BD9"/>
    <w:rsid w:val="00493F20"/>
    <w:rsid w:val="004947C0"/>
    <w:rsid w:val="004947C8"/>
    <w:rsid w:val="00495CED"/>
    <w:rsid w:val="004A1DF6"/>
    <w:rsid w:val="004A22EF"/>
    <w:rsid w:val="004A4083"/>
    <w:rsid w:val="004A45C1"/>
    <w:rsid w:val="004A7080"/>
    <w:rsid w:val="004B306F"/>
    <w:rsid w:val="004B73BF"/>
    <w:rsid w:val="004B77BC"/>
    <w:rsid w:val="004C0BB6"/>
    <w:rsid w:val="004C0EE0"/>
    <w:rsid w:val="004C1F33"/>
    <w:rsid w:val="004C3A62"/>
    <w:rsid w:val="004D04CB"/>
    <w:rsid w:val="004D104C"/>
    <w:rsid w:val="004D2250"/>
    <w:rsid w:val="004D5756"/>
    <w:rsid w:val="004D7C11"/>
    <w:rsid w:val="004E18FC"/>
    <w:rsid w:val="004E377F"/>
    <w:rsid w:val="004E3BA4"/>
    <w:rsid w:val="004E4097"/>
    <w:rsid w:val="004E451B"/>
    <w:rsid w:val="004E6DE4"/>
    <w:rsid w:val="004F447A"/>
    <w:rsid w:val="004F6177"/>
    <w:rsid w:val="004F6AAD"/>
    <w:rsid w:val="004F70DA"/>
    <w:rsid w:val="004F70E1"/>
    <w:rsid w:val="00503C1B"/>
    <w:rsid w:val="00505251"/>
    <w:rsid w:val="005057B5"/>
    <w:rsid w:val="0050663B"/>
    <w:rsid w:val="00507E58"/>
    <w:rsid w:val="005147DB"/>
    <w:rsid w:val="00516B29"/>
    <w:rsid w:val="00520966"/>
    <w:rsid w:val="00522503"/>
    <w:rsid w:val="005231E5"/>
    <w:rsid w:val="00523B6C"/>
    <w:rsid w:val="00525392"/>
    <w:rsid w:val="005277BF"/>
    <w:rsid w:val="00527D5A"/>
    <w:rsid w:val="00530947"/>
    <w:rsid w:val="005353B9"/>
    <w:rsid w:val="0054060F"/>
    <w:rsid w:val="005412D0"/>
    <w:rsid w:val="0054176B"/>
    <w:rsid w:val="00551C53"/>
    <w:rsid w:val="00552A19"/>
    <w:rsid w:val="00552CD7"/>
    <w:rsid w:val="00553105"/>
    <w:rsid w:val="005542FF"/>
    <w:rsid w:val="00554C39"/>
    <w:rsid w:val="005565B0"/>
    <w:rsid w:val="00556EA7"/>
    <w:rsid w:val="00562230"/>
    <w:rsid w:val="00562FE0"/>
    <w:rsid w:val="00563587"/>
    <w:rsid w:val="0056534F"/>
    <w:rsid w:val="0056551A"/>
    <w:rsid w:val="00570F29"/>
    <w:rsid w:val="005714FA"/>
    <w:rsid w:val="0057231A"/>
    <w:rsid w:val="005744CA"/>
    <w:rsid w:val="005803F3"/>
    <w:rsid w:val="00580E8D"/>
    <w:rsid w:val="00581280"/>
    <w:rsid w:val="00581DAF"/>
    <w:rsid w:val="005821F7"/>
    <w:rsid w:val="0058715E"/>
    <w:rsid w:val="00590367"/>
    <w:rsid w:val="00590C3F"/>
    <w:rsid w:val="0059275E"/>
    <w:rsid w:val="00592B93"/>
    <w:rsid w:val="005931E1"/>
    <w:rsid w:val="00594198"/>
    <w:rsid w:val="00594F94"/>
    <w:rsid w:val="00595A4A"/>
    <w:rsid w:val="00596301"/>
    <w:rsid w:val="005971F6"/>
    <w:rsid w:val="005975A2"/>
    <w:rsid w:val="005A35D6"/>
    <w:rsid w:val="005A433F"/>
    <w:rsid w:val="005A703B"/>
    <w:rsid w:val="005A7CF9"/>
    <w:rsid w:val="005B0696"/>
    <w:rsid w:val="005B1D8C"/>
    <w:rsid w:val="005B21D4"/>
    <w:rsid w:val="005B2F92"/>
    <w:rsid w:val="005B312D"/>
    <w:rsid w:val="005B34B5"/>
    <w:rsid w:val="005B4553"/>
    <w:rsid w:val="005B7502"/>
    <w:rsid w:val="005C3460"/>
    <w:rsid w:val="005C48A6"/>
    <w:rsid w:val="005C54D9"/>
    <w:rsid w:val="005C5919"/>
    <w:rsid w:val="005D0FF1"/>
    <w:rsid w:val="005D1A31"/>
    <w:rsid w:val="005D4496"/>
    <w:rsid w:val="005D57B6"/>
    <w:rsid w:val="005E396B"/>
    <w:rsid w:val="005E6E62"/>
    <w:rsid w:val="005F0BA1"/>
    <w:rsid w:val="005F6D81"/>
    <w:rsid w:val="006002CE"/>
    <w:rsid w:val="00602A15"/>
    <w:rsid w:val="0060475D"/>
    <w:rsid w:val="00605C7E"/>
    <w:rsid w:val="00610392"/>
    <w:rsid w:val="00613EAB"/>
    <w:rsid w:val="00614C87"/>
    <w:rsid w:val="00615AA9"/>
    <w:rsid w:val="006203D5"/>
    <w:rsid w:val="006237E8"/>
    <w:rsid w:val="00624608"/>
    <w:rsid w:val="006267BA"/>
    <w:rsid w:val="006273A2"/>
    <w:rsid w:val="00637429"/>
    <w:rsid w:val="00642698"/>
    <w:rsid w:val="006435BC"/>
    <w:rsid w:val="00643D77"/>
    <w:rsid w:val="00644785"/>
    <w:rsid w:val="00644EE9"/>
    <w:rsid w:val="006450D5"/>
    <w:rsid w:val="00646034"/>
    <w:rsid w:val="0064742E"/>
    <w:rsid w:val="00650D9A"/>
    <w:rsid w:val="00651664"/>
    <w:rsid w:val="0065172C"/>
    <w:rsid w:val="00652BE2"/>
    <w:rsid w:val="006560E6"/>
    <w:rsid w:val="00666669"/>
    <w:rsid w:val="00666A6F"/>
    <w:rsid w:val="006707DB"/>
    <w:rsid w:val="00675437"/>
    <w:rsid w:val="00676C61"/>
    <w:rsid w:val="006830D3"/>
    <w:rsid w:val="00693A25"/>
    <w:rsid w:val="006957BE"/>
    <w:rsid w:val="006974EC"/>
    <w:rsid w:val="00697F08"/>
    <w:rsid w:val="006A0125"/>
    <w:rsid w:val="006A04BF"/>
    <w:rsid w:val="006A0F19"/>
    <w:rsid w:val="006A4425"/>
    <w:rsid w:val="006A622E"/>
    <w:rsid w:val="006A6CD3"/>
    <w:rsid w:val="006B0248"/>
    <w:rsid w:val="006B0AFD"/>
    <w:rsid w:val="006B2983"/>
    <w:rsid w:val="006C40B2"/>
    <w:rsid w:val="006C5553"/>
    <w:rsid w:val="006C6402"/>
    <w:rsid w:val="006C6665"/>
    <w:rsid w:val="006D1855"/>
    <w:rsid w:val="006D224D"/>
    <w:rsid w:val="006E148D"/>
    <w:rsid w:val="006E1C5B"/>
    <w:rsid w:val="006E2B15"/>
    <w:rsid w:val="006E49DF"/>
    <w:rsid w:val="006E6721"/>
    <w:rsid w:val="006E6E3C"/>
    <w:rsid w:val="006E7866"/>
    <w:rsid w:val="006F267B"/>
    <w:rsid w:val="006F3090"/>
    <w:rsid w:val="006F40A3"/>
    <w:rsid w:val="006F44CF"/>
    <w:rsid w:val="006F6296"/>
    <w:rsid w:val="007003EC"/>
    <w:rsid w:val="007013DB"/>
    <w:rsid w:val="00701CD3"/>
    <w:rsid w:val="00701D50"/>
    <w:rsid w:val="007033FF"/>
    <w:rsid w:val="00705D99"/>
    <w:rsid w:val="00707578"/>
    <w:rsid w:val="00707732"/>
    <w:rsid w:val="007079D5"/>
    <w:rsid w:val="007101C1"/>
    <w:rsid w:val="00710357"/>
    <w:rsid w:val="00714A13"/>
    <w:rsid w:val="00721220"/>
    <w:rsid w:val="00721B7A"/>
    <w:rsid w:val="00723751"/>
    <w:rsid w:val="00724255"/>
    <w:rsid w:val="00725082"/>
    <w:rsid w:val="0072613D"/>
    <w:rsid w:val="00732824"/>
    <w:rsid w:val="00732A81"/>
    <w:rsid w:val="007352A9"/>
    <w:rsid w:val="00735E12"/>
    <w:rsid w:val="00736CED"/>
    <w:rsid w:val="00737B48"/>
    <w:rsid w:val="00740B86"/>
    <w:rsid w:val="00741074"/>
    <w:rsid w:val="00741BDB"/>
    <w:rsid w:val="00742B91"/>
    <w:rsid w:val="00743497"/>
    <w:rsid w:val="00744019"/>
    <w:rsid w:val="00744D73"/>
    <w:rsid w:val="00744F53"/>
    <w:rsid w:val="00744FD5"/>
    <w:rsid w:val="00747ADB"/>
    <w:rsid w:val="00752AA8"/>
    <w:rsid w:val="00753D3C"/>
    <w:rsid w:val="00754BBF"/>
    <w:rsid w:val="007569DC"/>
    <w:rsid w:val="00756C66"/>
    <w:rsid w:val="00760DC4"/>
    <w:rsid w:val="00762BC2"/>
    <w:rsid w:val="007652E2"/>
    <w:rsid w:val="007664D2"/>
    <w:rsid w:val="00766CBE"/>
    <w:rsid w:val="00770E1C"/>
    <w:rsid w:val="00771F63"/>
    <w:rsid w:val="0077252F"/>
    <w:rsid w:val="00776752"/>
    <w:rsid w:val="00776A0D"/>
    <w:rsid w:val="00776B9E"/>
    <w:rsid w:val="0078118B"/>
    <w:rsid w:val="007852D2"/>
    <w:rsid w:val="007854CD"/>
    <w:rsid w:val="00786045"/>
    <w:rsid w:val="00786E1E"/>
    <w:rsid w:val="00787481"/>
    <w:rsid w:val="00790A9B"/>
    <w:rsid w:val="007917AF"/>
    <w:rsid w:val="007924DD"/>
    <w:rsid w:val="00795421"/>
    <w:rsid w:val="00797F98"/>
    <w:rsid w:val="007A2230"/>
    <w:rsid w:val="007A3A03"/>
    <w:rsid w:val="007A5003"/>
    <w:rsid w:val="007A6841"/>
    <w:rsid w:val="007A6A29"/>
    <w:rsid w:val="007B6896"/>
    <w:rsid w:val="007B78DD"/>
    <w:rsid w:val="007B7BAE"/>
    <w:rsid w:val="007C0580"/>
    <w:rsid w:val="007C2565"/>
    <w:rsid w:val="007C3F73"/>
    <w:rsid w:val="007C495F"/>
    <w:rsid w:val="007C58E6"/>
    <w:rsid w:val="007C6174"/>
    <w:rsid w:val="007D17FA"/>
    <w:rsid w:val="007D1800"/>
    <w:rsid w:val="007D22F9"/>
    <w:rsid w:val="007D2A33"/>
    <w:rsid w:val="007E02F0"/>
    <w:rsid w:val="007E29B8"/>
    <w:rsid w:val="007E3DB0"/>
    <w:rsid w:val="007E3FD4"/>
    <w:rsid w:val="007E6395"/>
    <w:rsid w:val="007F05C0"/>
    <w:rsid w:val="007F3D46"/>
    <w:rsid w:val="007F4A6E"/>
    <w:rsid w:val="007F52B7"/>
    <w:rsid w:val="00802844"/>
    <w:rsid w:val="008032C0"/>
    <w:rsid w:val="00804B5A"/>
    <w:rsid w:val="00805729"/>
    <w:rsid w:val="008058AF"/>
    <w:rsid w:val="00805B28"/>
    <w:rsid w:val="00806D63"/>
    <w:rsid w:val="00807884"/>
    <w:rsid w:val="008117CF"/>
    <w:rsid w:val="0081585B"/>
    <w:rsid w:val="00817513"/>
    <w:rsid w:val="008200EA"/>
    <w:rsid w:val="008229BB"/>
    <w:rsid w:val="00822E07"/>
    <w:rsid w:val="008242A1"/>
    <w:rsid w:val="00824DD3"/>
    <w:rsid w:val="00825693"/>
    <w:rsid w:val="00825B6C"/>
    <w:rsid w:val="008262B4"/>
    <w:rsid w:val="008278D3"/>
    <w:rsid w:val="00830F8A"/>
    <w:rsid w:val="00830FEB"/>
    <w:rsid w:val="008319BB"/>
    <w:rsid w:val="00831AD3"/>
    <w:rsid w:val="00833974"/>
    <w:rsid w:val="0083622A"/>
    <w:rsid w:val="00836442"/>
    <w:rsid w:val="00840A5D"/>
    <w:rsid w:val="00844977"/>
    <w:rsid w:val="00844B80"/>
    <w:rsid w:val="008471D6"/>
    <w:rsid w:val="00847C5E"/>
    <w:rsid w:val="00850992"/>
    <w:rsid w:val="0085327B"/>
    <w:rsid w:val="00853F6F"/>
    <w:rsid w:val="00855916"/>
    <w:rsid w:val="00857C9D"/>
    <w:rsid w:val="00863A81"/>
    <w:rsid w:val="00865527"/>
    <w:rsid w:val="0086630D"/>
    <w:rsid w:val="00866724"/>
    <w:rsid w:val="0086691A"/>
    <w:rsid w:val="0087298F"/>
    <w:rsid w:val="00881486"/>
    <w:rsid w:val="00882714"/>
    <w:rsid w:val="00883379"/>
    <w:rsid w:val="008843A1"/>
    <w:rsid w:val="00884DCA"/>
    <w:rsid w:val="00887F6D"/>
    <w:rsid w:val="00891792"/>
    <w:rsid w:val="008936EA"/>
    <w:rsid w:val="008A1C6B"/>
    <w:rsid w:val="008A1E6E"/>
    <w:rsid w:val="008A1EC3"/>
    <w:rsid w:val="008A3EB7"/>
    <w:rsid w:val="008A484E"/>
    <w:rsid w:val="008A57BE"/>
    <w:rsid w:val="008A72F3"/>
    <w:rsid w:val="008B42B2"/>
    <w:rsid w:val="008B5C8B"/>
    <w:rsid w:val="008B65D1"/>
    <w:rsid w:val="008C10B6"/>
    <w:rsid w:val="008C12FE"/>
    <w:rsid w:val="008C5A1E"/>
    <w:rsid w:val="008C6782"/>
    <w:rsid w:val="008D15F5"/>
    <w:rsid w:val="008D1726"/>
    <w:rsid w:val="008D1A8A"/>
    <w:rsid w:val="008D1EE0"/>
    <w:rsid w:val="008D34A7"/>
    <w:rsid w:val="008D45B7"/>
    <w:rsid w:val="008D4AB3"/>
    <w:rsid w:val="008F3525"/>
    <w:rsid w:val="008F7245"/>
    <w:rsid w:val="00900699"/>
    <w:rsid w:val="00905626"/>
    <w:rsid w:val="00905E1E"/>
    <w:rsid w:val="00906049"/>
    <w:rsid w:val="00906D58"/>
    <w:rsid w:val="00907D34"/>
    <w:rsid w:val="00910707"/>
    <w:rsid w:val="00910EFB"/>
    <w:rsid w:val="0091240F"/>
    <w:rsid w:val="00914111"/>
    <w:rsid w:val="009155CA"/>
    <w:rsid w:val="00917BE7"/>
    <w:rsid w:val="00924767"/>
    <w:rsid w:val="00927D39"/>
    <w:rsid w:val="00930A91"/>
    <w:rsid w:val="009311B8"/>
    <w:rsid w:val="00933BB8"/>
    <w:rsid w:val="00933BD4"/>
    <w:rsid w:val="009353F5"/>
    <w:rsid w:val="00942C19"/>
    <w:rsid w:val="00944408"/>
    <w:rsid w:val="0094563E"/>
    <w:rsid w:val="0094578A"/>
    <w:rsid w:val="009543A0"/>
    <w:rsid w:val="009644D1"/>
    <w:rsid w:val="00965498"/>
    <w:rsid w:val="00972E60"/>
    <w:rsid w:val="009744C6"/>
    <w:rsid w:val="00974528"/>
    <w:rsid w:val="00974FA0"/>
    <w:rsid w:val="00981A2F"/>
    <w:rsid w:val="00982858"/>
    <w:rsid w:val="00990747"/>
    <w:rsid w:val="00990B0A"/>
    <w:rsid w:val="0099226E"/>
    <w:rsid w:val="00995797"/>
    <w:rsid w:val="009961AC"/>
    <w:rsid w:val="009A4323"/>
    <w:rsid w:val="009A75B8"/>
    <w:rsid w:val="009B0FE1"/>
    <w:rsid w:val="009B671D"/>
    <w:rsid w:val="009B76B5"/>
    <w:rsid w:val="009C022B"/>
    <w:rsid w:val="009C448C"/>
    <w:rsid w:val="009C5087"/>
    <w:rsid w:val="009D0154"/>
    <w:rsid w:val="009D1485"/>
    <w:rsid w:val="009D1CC0"/>
    <w:rsid w:val="009D298C"/>
    <w:rsid w:val="009D3297"/>
    <w:rsid w:val="009D5963"/>
    <w:rsid w:val="009D678A"/>
    <w:rsid w:val="009D732A"/>
    <w:rsid w:val="009D7CEE"/>
    <w:rsid w:val="009E276C"/>
    <w:rsid w:val="009E4AB2"/>
    <w:rsid w:val="009F0BF4"/>
    <w:rsid w:val="009F1105"/>
    <w:rsid w:val="009F7356"/>
    <w:rsid w:val="009F7C6C"/>
    <w:rsid w:val="009F7E3F"/>
    <w:rsid w:val="00A03161"/>
    <w:rsid w:val="00A06D34"/>
    <w:rsid w:val="00A07101"/>
    <w:rsid w:val="00A115E2"/>
    <w:rsid w:val="00A119DE"/>
    <w:rsid w:val="00A147ED"/>
    <w:rsid w:val="00A20069"/>
    <w:rsid w:val="00A216A6"/>
    <w:rsid w:val="00A23592"/>
    <w:rsid w:val="00A274B3"/>
    <w:rsid w:val="00A3110F"/>
    <w:rsid w:val="00A31D9C"/>
    <w:rsid w:val="00A3256F"/>
    <w:rsid w:val="00A37610"/>
    <w:rsid w:val="00A40AC4"/>
    <w:rsid w:val="00A434F9"/>
    <w:rsid w:val="00A456D5"/>
    <w:rsid w:val="00A50DB2"/>
    <w:rsid w:val="00A519CF"/>
    <w:rsid w:val="00A56CEE"/>
    <w:rsid w:val="00A56D65"/>
    <w:rsid w:val="00A57E04"/>
    <w:rsid w:val="00A57F98"/>
    <w:rsid w:val="00A60813"/>
    <w:rsid w:val="00A63C55"/>
    <w:rsid w:val="00A67E62"/>
    <w:rsid w:val="00A70B15"/>
    <w:rsid w:val="00A72EF4"/>
    <w:rsid w:val="00A73B23"/>
    <w:rsid w:val="00A73F2A"/>
    <w:rsid w:val="00A741F4"/>
    <w:rsid w:val="00A75369"/>
    <w:rsid w:val="00A76619"/>
    <w:rsid w:val="00A771A0"/>
    <w:rsid w:val="00A772F1"/>
    <w:rsid w:val="00A86413"/>
    <w:rsid w:val="00A93391"/>
    <w:rsid w:val="00A9541F"/>
    <w:rsid w:val="00A95EBA"/>
    <w:rsid w:val="00A97208"/>
    <w:rsid w:val="00A97C8E"/>
    <w:rsid w:val="00AA02A5"/>
    <w:rsid w:val="00AA1FAF"/>
    <w:rsid w:val="00AA3509"/>
    <w:rsid w:val="00AA4057"/>
    <w:rsid w:val="00AB0ADF"/>
    <w:rsid w:val="00AB1C38"/>
    <w:rsid w:val="00AB27FA"/>
    <w:rsid w:val="00AB4052"/>
    <w:rsid w:val="00AC0365"/>
    <w:rsid w:val="00AC04E8"/>
    <w:rsid w:val="00AC52FE"/>
    <w:rsid w:val="00AC75B8"/>
    <w:rsid w:val="00AD073A"/>
    <w:rsid w:val="00AD33C8"/>
    <w:rsid w:val="00AD4EE3"/>
    <w:rsid w:val="00AD5400"/>
    <w:rsid w:val="00AE0B4E"/>
    <w:rsid w:val="00AE20B7"/>
    <w:rsid w:val="00AE219D"/>
    <w:rsid w:val="00AE3CC7"/>
    <w:rsid w:val="00AE7BF3"/>
    <w:rsid w:val="00AF03BD"/>
    <w:rsid w:val="00AF516D"/>
    <w:rsid w:val="00AF708A"/>
    <w:rsid w:val="00AF7F7F"/>
    <w:rsid w:val="00B01B51"/>
    <w:rsid w:val="00B02591"/>
    <w:rsid w:val="00B056D7"/>
    <w:rsid w:val="00B067DF"/>
    <w:rsid w:val="00B069FB"/>
    <w:rsid w:val="00B0757C"/>
    <w:rsid w:val="00B07EB7"/>
    <w:rsid w:val="00B137B7"/>
    <w:rsid w:val="00B13C2B"/>
    <w:rsid w:val="00B13FBF"/>
    <w:rsid w:val="00B14570"/>
    <w:rsid w:val="00B17347"/>
    <w:rsid w:val="00B177F5"/>
    <w:rsid w:val="00B22557"/>
    <w:rsid w:val="00B22A80"/>
    <w:rsid w:val="00B22B22"/>
    <w:rsid w:val="00B2417C"/>
    <w:rsid w:val="00B24AA7"/>
    <w:rsid w:val="00B2632E"/>
    <w:rsid w:val="00B327A6"/>
    <w:rsid w:val="00B331CF"/>
    <w:rsid w:val="00B3748B"/>
    <w:rsid w:val="00B40D60"/>
    <w:rsid w:val="00B44291"/>
    <w:rsid w:val="00B45EB3"/>
    <w:rsid w:val="00B47D14"/>
    <w:rsid w:val="00B529EE"/>
    <w:rsid w:val="00B533F9"/>
    <w:rsid w:val="00B535D8"/>
    <w:rsid w:val="00B558B6"/>
    <w:rsid w:val="00B61F8A"/>
    <w:rsid w:val="00B622ED"/>
    <w:rsid w:val="00B62856"/>
    <w:rsid w:val="00B66789"/>
    <w:rsid w:val="00B706D4"/>
    <w:rsid w:val="00B74C0A"/>
    <w:rsid w:val="00B76C05"/>
    <w:rsid w:val="00B819E8"/>
    <w:rsid w:val="00B81E44"/>
    <w:rsid w:val="00B82CAF"/>
    <w:rsid w:val="00B84B3A"/>
    <w:rsid w:val="00B860FD"/>
    <w:rsid w:val="00B864AE"/>
    <w:rsid w:val="00B87AA9"/>
    <w:rsid w:val="00B906FA"/>
    <w:rsid w:val="00B91BB0"/>
    <w:rsid w:val="00B930CB"/>
    <w:rsid w:val="00B9417C"/>
    <w:rsid w:val="00B954E7"/>
    <w:rsid w:val="00B95A0F"/>
    <w:rsid w:val="00B9756F"/>
    <w:rsid w:val="00BA0FD7"/>
    <w:rsid w:val="00BA676D"/>
    <w:rsid w:val="00BB1106"/>
    <w:rsid w:val="00BB1BC1"/>
    <w:rsid w:val="00BB298A"/>
    <w:rsid w:val="00BB4A01"/>
    <w:rsid w:val="00BB5189"/>
    <w:rsid w:val="00BB5697"/>
    <w:rsid w:val="00BB6691"/>
    <w:rsid w:val="00BB7C8F"/>
    <w:rsid w:val="00BC4003"/>
    <w:rsid w:val="00BC697F"/>
    <w:rsid w:val="00BC6B9A"/>
    <w:rsid w:val="00BC6D7B"/>
    <w:rsid w:val="00BC7278"/>
    <w:rsid w:val="00BD16BE"/>
    <w:rsid w:val="00BD2462"/>
    <w:rsid w:val="00BD5D4B"/>
    <w:rsid w:val="00BD5FE4"/>
    <w:rsid w:val="00BD71DC"/>
    <w:rsid w:val="00BD759B"/>
    <w:rsid w:val="00BE0D59"/>
    <w:rsid w:val="00BE1171"/>
    <w:rsid w:val="00BE174B"/>
    <w:rsid w:val="00BF4D56"/>
    <w:rsid w:val="00BF526A"/>
    <w:rsid w:val="00C02736"/>
    <w:rsid w:val="00C03448"/>
    <w:rsid w:val="00C05D28"/>
    <w:rsid w:val="00C075E2"/>
    <w:rsid w:val="00C07F6C"/>
    <w:rsid w:val="00C1190E"/>
    <w:rsid w:val="00C11EA1"/>
    <w:rsid w:val="00C1293F"/>
    <w:rsid w:val="00C1305B"/>
    <w:rsid w:val="00C130F3"/>
    <w:rsid w:val="00C15010"/>
    <w:rsid w:val="00C17D4C"/>
    <w:rsid w:val="00C201CD"/>
    <w:rsid w:val="00C21521"/>
    <w:rsid w:val="00C21A85"/>
    <w:rsid w:val="00C2256C"/>
    <w:rsid w:val="00C23285"/>
    <w:rsid w:val="00C23816"/>
    <w:rsid w:val="00C239D6"/>
    <w:rsid w:val="00C2433A"/>
    <w:rsid w:val="00C24AA8"/>
    <w:rsid w:val="00C25C89"/>
    <w:rsid w:val="00C2732B"/>
    <w:rsid w:val="00C2779A"/>
    <w:rsid w:val="00C3039C"/>
    <w:rsid w:val="00C30D76"/>
    <w:rsid w:val="00C3152B"/>
    <w:rsid w:val="00C43812"/>
    <w:rsid w:val="00C451F0"/>
    <w:rsid w:val="00C4589E"/>
    <w:rsid w:val="00C5483D"/>
    <w:rsid w:val="00C54E6C"/>
    <w:rsid w:val="00C55B2A"/>
    <w:rsid w:val="00C60B88"/>
    <w:rsid w:val="00C6207A"/>
    <w:rsid w:val="00C64515"/>
    <w:rsid w:val="00C67922"/>
    <w:rsid w:val="00C74B71"/>
    <w:rsid w:val="00C74FC9"/>
    <w:rsid w:val="00C77056"/>
    <w:rsid w:val="00C770EE"/>
    <w:rsid w:val="00C77DBF"/>
    <w:rsid w:val="00C81E26"/>
    <w:rsid w:val="00C840E9"/>
    <w:rsid w:val="00C86308"/>
    <w:rsid w:val="00C8645E"/>
    <w:rsid w:val="00C90909"/>
    <w:rsid w:val="00C91B7E"/>
    <w:rsid w:val="00C95307"/>
    <w:rsid w:val="00C96D08"/>
    <w:rsid w:val="00CA5C88"/>
    <w:rsid w:val="00CA6ADD"/>
    <w:rsid w:val="00CA6ED9"/>
    <w:rsid w:val="00CB0428"/>
    <w:rsid w:val="00CB50D4"/>
    <w:rsid w:val="00CB5168"/>
    <w:rsid w:val="00CB53CB"/>
    <w:rsid w:val="00CC28DB"/>
    <w:rsid w:val="00CC2FE1"/>
    <w:rsid w:val="00CC4C6E"/>
    <w:rsid w:val="00CC7ED5"/>
    <w:rsid w:val="00CD16E0"/>
    <w:rsid w:val="00CD1AD1"/>
    <w:rsid w:val="00CD207F"/>
    <w:rsid w:val="00CD7509"/>
    <w:rsid w:val="00CE082E"/>
    <w:rsid w:val="00CE23E1"/>
    <w:rsid w:val="00CF0C61"/>
    <w:rsid w:val="00CF1801"/>
    <w:rsid w:val="00CF3408"/>
    <w:rsid w:val="00CF5261"/>
    <w:rsid w:val="00D000D0"/>
    <w:rsid w:val="00D00F6D"/>
    <w:rsid w:val="00D01A28"/>
    <w:rsid w:val="00D01F87"/>
    <w:rsid w:val="00D02B68"/>
    <w:rsid w:val="00D02D4F"/>
    <w:rsid w:val="00D03617"/>
    <w:rsid w:val="00D04F43"/>
    <w:rsid w:val="00D058EE"/>
    <w:rsid w:val="00D06B4B"/>
    <w:rsid w:val="00D12D80"/>
    <w:rsid w:val="00D1486C"/>
    <w:rsid w:val="00D176C9"/>
    <w:rsid w:val="00D17A25"/>
    <w:rsid w:val="00D23FBF"/>
    <w:rsid w:val="00D24375"/>
    <w:rsid w:val="00D24508"/>
    <w:rsid w:val="00D2458A"/>
    <w:rsid w:val="00D26416"/>
    <w:rsid w:val="00D266E7"/>
    <w:rsid w:val="00D30F15"/>
    <w:rsid w:val="00D324E7"/>
    <w:rsid w:val="00D33E0F"/>
    <w:rsid w:val="00D34F81"/>
    <w:rsid w:val="00D35576"/>
    <w:rsid w:val="00D37261"/>
    <w:rsid w:val="00D40B76"/>
    <w:rsid w:val="00D4124B"/>
    <w:rsid w:val="00D41519"/>
    <w:rsid w:val="00D423E0"/>
    <w:rsid w:val="00D435A0"/>
    <w:rsid w:val="00D4468A"/>
    <w:rsid w:val="00D45178"/>
    <w:rsid w:val="00D452E0"/>
    <w:rsid w:val="00D45812"/>
    <w:rsid w:val="00D4705C"/>
    <w:rsid w:val="00D531D8"/>
    <w:rsid w:val="00D5379D"/>
    <w:rsid w:val="00D56867"/>
    <w:rsid w:val="00D572E4"/>
    <w:rsid w:val="00D60330"/>
    <w:rsid w:val="00D604DD"/>
    <w:rsid w:val="00D6074A"/>
    <w:rsid w:val="00D62E47"/>
    <w:rsid w:val="00D63F03"/>
    <w:rsid w:val="00D71DD3"/>
    <w:rsid w:val="00D73B4E"/>
    <w:rsid w:val="00D740E1"/>
    <w:rsid w:val="00D7664F"/>
    <w:rsid w:val="00D80131"/>
    <w:rsid w:val="00D8017E"/>
    <w:rsid w:val="00D80F1E"/>
    <w:rsid w:val="00D8122F"/>
    <w:rsid w:val="00D8357D"/>
    <w:rsid w:val="00D83C06"/>
    <w:rsid w:val="00D84351"/>
    <w:rsid w:val="00D86E2A"/>
    <w:rsid w:val="00D90D5B"/>
    <w:rsid w:val="00D90E70"/>
    <w:rsid w:val="00D93F32"/>
    <w:rsid w:val="00DA0DC6"/>
    <w:rsid w:val="00DB12A7"/>
    <w:rsid w:val="00DB14E7"/>
    <w:rsid w:val="00DB1966"/>
    <w:rsid w:val="00DB5C6F"/>
    <w:rsid w:val="00DB725C"/>
    <w:rsid w:val="00DC384F"/>
    <w:rsid w:val="00DC58DB"/>
    <w:rsid w:val="00DC5D9C"/>
    <w:rsid w:val="00DD0CF7"/>
    <w:rsid w:val="00DD238C"/>
    <w:rsid w:val="00DD4E99"/>
    <w:rsid w:val="00DD6488"/>
    <w:rsid w:val="00DE0AED"/>
    <w:rsid w:val="00DE215A"/>
    <w:rsid w:val="00DE69FE"/>
    <w:rsid w:val="00DF3A36"/>
    <w:rsid w:val="00DF3E85"/>
    <w:rsid w:val="00DF7AEE"/>
    <w:rsid w:val="00E02D77"/>
    <w:rsid w:val="00E03FCC"/>
    <w:rsid w:val="00E049B2"/>
    <w:rsid w:val="00E11D7E"/>
    <w:rsid w:val="00E12767"/>
    <w:rsid w:val="00E1366C"/>
    <w:rsid w:val="00E211BC"/>
    <w:rsid w:val="00E233E6"/>
    <w:rsid w:val="00E235D5"/>
    <w:rsid w:val="00E246E2"/>
    <w:rsid w:val="00E24FDC"/>
    <w:rsid w:val="00E30467"/>
    <w:rsid w:val="00E36B4F"/>
    <w:rsid w:val="00E36EE5"/>
    <w:rsid w:val="00E40095"/>
    <w:rsid w:val="00E4312A"/>
    <w:rsid w:val="00E439F5"/>
    <w:rsid w:val="00E46AAD"/>
    <w:rsid w:val="00E511E0"/>
    <w:rsid w:val="00E517F8"/>
    <w:rsid w:val="00E51B8A"/>
    <w:rsid w:val="00E524E7"/>
    <w:rsid w:val="00E53694"/>
    <w:rsid w:val="00E539D1"/>
    <w:rsid w:val="00E57149"/>
    <w:rsid w:val="00E60D97"/>
    <w:rsid w:val="00E64AA2"/>
    <w:rsid w:val="00E67065"/>
    <w:rsid w:val="00E727F3"/>
    <w:rsid w:val="00E7379F"/>
    <w:rsid w:val="00E73D12"/>
    <w:rsid w:val="00E74B15"/>
    <w:rsid w:val="00E76886"/>
    <w:rsid w:val="00E80678"/>
    <w:rsid w:val="00E81F7F"/>
    <w:rsid w:val="00E90724"/>
    <w:rsid w:val="00E92691"/>
    <w:rsid w:val="00E95186"/>
    <w:rsid w:val="00E95E25"/>
    <w:rsid w:val="00E96278"/>
    <w:rsid w:val="00E96909"/>
    <w:rsid w:val="00E97FA0"/>
    <w:rsid w:val="00EA02C9"/>
    <w:rsid w:val="00EA1D59"/>
    <w:rsid w:val="00EA2380"/>
    <w:rsid w:val="00EA7FFE"/>
    <w:rsid w:val="00EB018B"/>
    <w:rsid w:val="00EB07B3"/>
    <w:rsid w:val="00EB1D6C"/>
    <w:rsid w:val="00EB3F76"/>
    <w:rsid w:val="00EC5433"/>
    <w:rsid w:val="00EC6CE0"/>
    <w:rsid w:val="00ED0BFF"/>
    <w:rsid w:val="00ED17B2"/>
    <w:rsid w:val="00ED1C9C"/>
    <w:rsid w:val="00ED583A"/>
    <w:rsid w:val="00ED7CE9"/>
    <w:rsid w:val="00EE0EB2"/>
    <w:rsid w:val="00EE5837"/>
    <w:rsid w:val="00EE796D"/>
    <w:rsid w:val="00EF36FE"/>
    <w:rsid w:val="00EF425D"/>
    <w:rsid w:val="00EF4722"/>
    <w:rsid w:val="00EF54BC"/>
    <w:rsid w:val="00EF7BEB"/>
    <w:rsid w:val="00F0109F"/>
    <w:rsid w:val="00F039B0"/>
    <w:rsid w:val="00F04759"/>
    <w:rsid w:val="00F05D58"/>
    <w:rsid w:val="00F069E1"/>
    <w:rsid w:val="00F112F0"/>
    <w:rsid w:val="00F12B70"/>
    <w:rsid w:val="00F12CCC"/>
    <w:rsid w:val="00F12D81"/>
    <w:rsid w:val="00F1387E"/>
    <w:rsid w:val="00F17177"/>
    <w:rsid w:val="00F22AA5"/>
    <w:rsid w:val="00F230A3"/>
    <w:rsid w:val="00F26F67"/>
    <w:rsid w:val="00F3171D"/>
    <w:rsid w:val="00F3255B"/>
    <w:rsid w:val="00F32D21"/>
    <w:rsid w:val="00F33654"/>
    <w:rsid w:val="00F33F3B"/>
    <w:rsid w:val="00F349D1"/>
    <w:rsid w:val="00F34AD5"/>
    <w:rsid w:val="00F357A4"/>
    <w:rsid w:val="00F41660"/>
    <w:rsid w:val="00F41CE1"/>
    <w:rsid w:val="00F56193"/>
    <w:rsid w:val="00F60249"/>
    <w:rsid w:val="00F60CE9"/>
    <w:rsid w:val="00F61330"/>
    <w:rsid w:val="00F62AB0"/>
    <w:rsid w:val="00F668D4"/>
    <w:rsid w:val="00F673D8"/>
    <w:rsid w:val="00F71FFF"/>
    <w:rsid w:val="00F73262"/>
    <w:rsid w:val="00F75071"/>
    <w:rsid w:val="00F77B38"/>
    <w:rsid w:val="00F805DF"/>
    <w:rsid w:val="00F80641"/>
    <w:rsid w:val="00F80E6A"/>
    <w:rsid w:val="00F876B8"/>
    <w:rsid w:val="00F90683"/>
    <w:rsid w:val="00F910FA"/>
    <w:rsid w:val="00F932EA"/>
    <w:rsid w:val="00F93B35"/>
    <w:rsid w:val="00F93CE5"/>
    <w:rsid w:val="00F945E3"/>
    <w:rsid w:val="00F94E56"/>
    <w:rsid w:val="00FA0341"/>
    <w:rsid w:val="00FA1124"/>
    <w:rsid w:val="00FA2534"/>
    <w:rsid w:val="00FA3A10"/>
    <w:rsid w:val="00FA5A7D"/>
    <w:rsid w:val="00FA73B5"/>
    <w:rsid w:val="00FA7D9C"/>
    <w:rsid w:val="00FB10F8"/>
    <w:rsid w:val="00FB2B75"/>
    <w:rsid w:val="00FB3C23"/>
    <w:rsid w:val="00FB51CC"/>
    <w:rsid w:val="00FB53A7"/>
    <w:rsid w:val="00FB5787"/>
    <w:rsid w:val="00FB6735"/>
    <w:rsid w:val="00FB7330"/>
    <w:rsid w:val="00FB75D6"/>
    <w:rsid w:val="00FC1FC5"/>
    <w:rsid w:val="00FD03AB"/>
    <w:rsid w:val="00FD6211"/>
    <w:rsid w:val="00FD6A13"/>
    <w:rsid w:val="00FD73BF"/>
    <w:rsid w:val="00FE2414"/>
    <w:rsid w:val="00FE5FFE"/>
    <w:rsid w:val="00FF1956"/>
    <w:rsid w:val="00FF26CD"/>
    <w:rsid w:val="00FF2889"/>
    <w:rsid w:val="00FF41F6"/>
    <w:rsid w:val="00FF4FA2"/>
    <w:rsid w:val="00FF501A"/>
    <w:rsid w:val="00FF7CEE"/>
    <w:rsid w:val="08971BFB"/>
    <w:rsid w:val="39EFCC06"/>
    <w:rsid w:val="50FEEAFA"/>
    <w:rsid w:val="5713CCBF"/>
    <w:rsid w:val="5BC045B0"/>
    <w:rsid w:val="762F5513"/>
    <w:rsid w:val="79FB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DC19E0D7-A152-4DF8-990A-6E0CB993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styleId="Mention">
    <w:name w:val="Mention"/>
    <w:basedOn w:val="DefaultParagraphFont"/>
    <w:uiPriority w:val="99"/>
    <w:unhideWhenUsed/>
    <w:rsid w:val="00605C7E"/>
    <w:rPr>
      <w:color w:val="2B579A"/>
      <w:shd w:val="clear" w:color="auto" w:fill="E1DFDD"/>
    </w:rPr>
  </w:style>
  <w:style w:type="paragraph" w:styleId="Revision">
    <w:name w:val="Revision"/>
    <w:hidden/>
    <w:uiPriority w:val="99"/>
    <w:semiHidden/>
    <w:rsid w:val="00592B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3536884" TargetMode="External"/><Relationship Id="rId18" Type="http://schemas.openxmlformats.org/officeDocument/2006/relationships/hyperlink" Target="https://clinicaltrials.gov/study/NCT06668181" TargetMode="External"/><Relationship Id="rId26"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3" Type="http://schemas.openxmlformats.org/officeDocument/2006/relationships/customXml" Target="../customXml/item3.xml"/><Relationship Id="rId21" Type="http://schemas.openxmlformats.org/officeDocument/2006/relationships/hyperlink" Target="mailto:bethany.christmann@abbvie.com" TargetMode="External"/><Relationship Id="rId7" Type="http://schemas.openxmlformats.org/officeDocument/2006/relationships/webSettings" Target="webSettings.xml"/><Relationship Id="rId12" Type="http://schemas.openxmlformats.org/officeDocument/2006/relationships/hyperlink" Target="https://clinicaltrials.gov/study/NCT06624228" TargetMode="External"/><Relationship Id="rId17" Type="http://schemas.openxmlformats.org/officeDocument/2006/relationships/hyperlink" Target="https://www.ucb.com/newsroom/press-releases/article/strong-execution-fueling-sustained-company-growth" TargetMode="External"/><Relationship Id="rId25" Type="http://schemas.openxmlformats.org/officeDocument/2006/relationships/hyperlink" Target="mailto:priti.anand@abbvie.com" TargetMode="External"/><Relationship Id="rId2" Type="http://schemas.openxmlformats.org/officeDocument/2006/relationships/customXml" Target="../customXml/item2.xml"/><Relationship Id="rId16" Type="http://schemas.openxmlformats.org/officeDocument/2006/relationships/hyperlink" Target="https://clinicaltrials.gov/study/NCT06624228" TargetMode="External"/><Relationship Id="rId20" Type="http://schemas.openxmlformats.org/officeDocument/2006/relationships/hyperlink" Target="mailto:chanda.bhat@abbvi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ucb.com/newsroom/press-releases/article/strong-execution-fueling-sustained-company-growth" TargetMode="External"/><Relationship Id="rId24" Type="http://schemas.openxmlformats.org/officeDocument/2006/relationships/hyperlink" Target="mailto:irene.knorn@abbvie.com" TargetMode="External"/><Relationship Id="rId5" Type="http://schemas.openxmlformats.org/officeDocument/2006/relationships/styles" Target="styles.xml"/><Relationship Id="rId15" Type="http://schemas.openxmlformats.org/officeDocument/2006/relationships/hyperlink" Target="https://clinicaltrials.gov/study/NCT03370133" TargetMode="External"/><Relationship Id="rId23" Type="http://schemas.openxmlformats.org/officeDocument/2006/relationships/hyperlink" Target="mailto:priti.anand@abbvie.com" TargetMode="External"/><Relationship Id="rId28"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0" Type="http://schemas.openxmlformats.org/officeDocument/2006/relationships/hyperlink" Target="https://clinicaltrials.gov/study/NCT06624228" TargetMode="External"/><Relationship Id="rId19" Type="http://schemas.openxmlformats.org/officeDocument/2006/relationships/hyperlink" Target="https://clinicaltrials.gov/study/NCT06425549" TargetMode="External"/><Relationship Id="rId4" Type="http://schemas.openxmlformats.org/officeDocument/2006/relationships/numbering" Target="numbering.xml"/><Relationship Id="rId9" Type="http://schemas.openxmlformats.org/officeDocument/2006/relationships/hyperlink" Target="https://www.ucb.com/newsroom/press-releases/article/bimzelxrvbimekizumab-superior-to-skyrizir-risankizumab-in-be-bold-first-head-to-head-study-in-active-psoriatic-arthritis-psa-to-demonstrate-superiority-in-acr50" TargetMode="External"/><Relationship Id="rId14" Type="http://schemas.openxmlformats.org/officeDocument/2006/relationships/hyperlink" Target="https://clinicaltrials.gov/study/NCT03412747" TargetMode="External"/><Relationship Id="rId22" Type="http://schemas.openxmlformats.org/officeDocument/2006/relationships/hyperlink" Target="mailto:luke.versten@abbvie.com" TargetMode="External"/><Relationship Id="rId27"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205B77-F678-49FF-A1DF-9C8C32BAD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1039</Words>
  <Characters>5928</Characters>
  <Application>Microsoft Office Word</Application>
  <DocSecurity>4</DocSecurity>
  <Lines>49</Lines>
  <Paragraphs>13</Paragraphs>
  <ScaleCrop>false</ScaleCrop>
  <Company>Abbvie</Company>
  <LinksUpToDate>false</LinksUpToDate>
  <CharactersWithSpaces>6954</CharactersWithSpaces>
  <SharedDoc>false</SharedDoc>
  <HLinks>
    <vt:vector size="120" baseType="variant">
      <vt:variant>
        <vt:i4>589939</vt:i4>
      </vt:variant>
      <vt:variant>
        <vt:i4>57</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54</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51</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4849718</vt:i4>
      </vt:variant>
      <vt:variant>
        <vt:i4>45</vt:i4>
      </vt:variant>
      <vt:variant>
        <vt:i4>0</vt:i4>
      </vt:variant>
      <vt:variant>
        <vt:i4>5</vt:i4>
      </vt:variant>
      <vt:variant>
        <vt:lpwstr>mailto:irene.knorn@abbvie.com</vt:lpwstr>
      </vt:variant>
      <vt:variant>
        <vt:lpwstr/>
      </vt:variant>
      <vt:variant>
        <vt:i4>6094896</vt:i4>
      </vt:variant>
      <vt:variant>
        <vt:i4>42</vt:i4>
      </vt:variant>
      <vt:variant>
        <vt:i4>0</vt:i4>
      </vt:variant>
      <vt:variant>
        <vt:i4>5</vt:i4>
      </vt:variant>
      <vt:variant>
        <vt:lpwstr>mailto:priti.anand@abbvie.com</vt:lpwstr>
      </vt:variant>
      <vt:variant>
        <vt:lpwstr/>
      </vt:variant>
      <vt:variant>
        <vt:i4>458863</vt:i4>
      </vt:variant>
      <vt:variant>
        <vt:i4>39</vt:i4>
      </vt:variant>
      <vt:variant>
        <vt:i4>0</vt:i4>
      </vt:variant>
      <vt:variant>
        <vt:i4>5</vt:i4>
      </vt:variant>
      <vt:variant>
        <vt:lpwstr>mailto:luke.versten@abbvie.com</vt:lpwstr>
      </vt:variant>
      <vt:variant>
        <vt:lpwstr/>
      </vt:variant>
      <vt:variant>
        <vt:i4>3276886</vt:i4>
      </vt:variant>
      <vt:variant>
        <vt:i4>36</vt:i4>
      </vt:variant>
      <vt:variant>
        <vt:i4>0</vt:i4>
      </vt:variant>
      <vt:variant>
        <vt:i4>5</vt:i4>
      </vt:variant>
      <vt:variant>
        <vt:lpwstr>mailto:bethany.christmann@abbvie.com</vt:lpwstr>
      </vt:variant>
      <vt:variant>
        <vt:lpwstr/>
      </vt:variant>
      <vt:variant>
        <vt:i4>1900668</vt:i4>
      </vt:variant>
      <vt:variant>
        <vt:i4>33</vt:i4>
      </vt:variant>
      <vt:variant>
        <vt:i4>0</vt:i4>
      </vt:variant>
      <vt:variant>
        <vt:i4>5</vt:i4>
      </vt:variant>
      <vt:variant>
        <vt:lpwstr>mailto:chanda.bhat@abbvie.com</vt:lpwstr>
      </vt:variant>
      <vt:variant>
        <vt:lpwstr/>
      </vt:variant>
      <vt:variant>
        <vt:i4>4</vt:i4>
      </vt:variant>
      <vt:variant>
        <vt:i4>30</vt:i4>
      </vt:variant>
      <vt:variant>
        <vt:i4>0</vt:i4>
      </vt:variant>
      <vt:variant>
        <vt:i4>5</vt:i4>
      </vt:variant>
      <vt:variant>
        <vt:lpwstr>https://clinicaltrials.gov/study/NCT06425549</vt:lpwstr>
      </vt:variant>
      <vt:variant>
        <vt:lpwstr/>
      </vt:variant>
      <vt:variant>
        <vt:i4>524295</vt:i4>
      </vt:variant>
      <vt:variant>
        <vt:i4>27</vt:i4>
      </vt:variant>
      <vt:variant>
        <vt:i4>0</vt:i4>
      </vt:variant>
      <vt:variant>
        <vt:i4>5</vt:i4>
      </vt:variant>
      <vt:variant>
        <vt:lpwstr>https://clinicaltrials.gov/study/NCT06668181</vt:lpwstr>
      </vt:variant>
      <vt:variant>
        <vt:lpwstr/>
      </vt:variant>
      <vt:variant>
        <vt:i4>5767169</vt:i4>
      </vt:variant>
      <vt:variant>
        <vt:i4>24</vt:i4>
      </vt:variant>
      <vt:variant>
        <vt:i4>0</vt:i4>
      </vt:variant>
      <vt:variant>
        <vt:i4>5</vt:i4>
      </vt:variant>
      <vt:variant>
        <vt:lpwstr>https://www.ucb.com/newsroom/press-releases/article/strong-execution-fueling-sustained-company-growth</vt:lpwstr>
      </vt:variant>
      <vt:variant>
        <vt:lpwstr/>
      </vt:variant>
      <vt:variant>
        <vt:i4>393217</vt:i4>
      </vt:variant>
      <vt:variant>
        <vt:i4>21</vt:i4>
      </vt:variant>
      <vt:variant>
        <vt:i4>0</vt:i4>
      </vt:variant>
      <vt:variant>
        <vt:i4>5</vt:i4>
      </vt:variant>
      <vt:variant>
        <vt:lpwstr>https://clinicaltrials.gov/study/NCT06624228</vt:lpwstr>
      </vt:variant>
      <vt:variant>
        <vt:lpwstr/>
      </vt:variant>
      <vt:variant>
        <vt:i4>917505</vt:i4>
      </vt:variant>
      <vt:variant>
        <vt:i4>18</vt:i4>
      </vt:variant>
      <vt:variant>
        <vt:i4>0</vt:i4>
      </vt:variant>
      <vt:variant>
        <vt:i4>5</vt:i4>
      </vt:variant>
      <vt:variant>
        <vt:lpwstr>https://clinicaltrials.gov/study/NCT03370133</vt:lpwstr>
      </vt:variant>
      <vt:variant>
        <vt:lpwstr/>
      </vt:variant>
      <vt:variant>
        <vt:i4>655363</vt:i4>
      </vt:variant>
      <vt:variant>
        <vt:i4>15</vt:i4>
      </vt:variant>
      <vt:variant>
        <vt:i4>0</vt:i4>
      </vt:variant>
      <vt:variant>
        <vt:i4>5</vt:i4>
      </vt:variant>
      <vt:variant>
        <vt:lpwstr>https://clinicaltrials.gov/study/NCT03412747</vt:lpwstr>
      </vt:variant>
      <vt:variant>
        <vt:lpwstr/>
      </vt:variant>
      <vt:variant>
        <vt:i4>262154</vt:i4>
      </vt:variant>
      <vt:variant>
        <vt:i4>12</vt:i4>
      </vt:variant>
      <vt:variant>
        <vt:i4>0</vt:i4>
      </vt:variant>
      <vt:variant>
        <vt:i4>5</vt:i4>
      </vt:variant>
      <vt:variant>
        <vt:lpwstr>https://clinicaltrials.gov/study/NCT03536884</vt:lpwstr>
      </vt:variant>
      <vt:variant>
        <vt:lpwstr/>
      </vt:variant>
      <vt:variant>
        <vt:i4>393217</vt:i4>
      </vt:variant>
      <vt:variant>
        <vt:i4>9</vt:i4>
      </vt:variant>
      <vt:variant>
        <vt:i4>0</vt:i4>
      </vt:variant>
      <vt:variant>
        <vt:i4>5</vt:i4>
      </vt:variant>
      <vt:variant>
        <vt:lpwstr>https://clinicaltrials.gov/study/NCT06624228</vt:lpwstr>
      </vt:variant>
      <vt:variant>
        <vt:lpwstr/>
      </vt:variant>
      <vt:variant>
        <vt:i4>5767169</vt:i4>
      </vt:variant>
      <vt:variant>
        <vt:i4>6</vt:i4>
      </vt:variant>
      <vt:variant>
        <vt:i4>0</vt:i4>
      </vt:variant>
      <vt:variant>
        <vt:i4>5</vt:i4>
      </vt:variant>
      <vt:variant>
        <vt:lpwstr>https://www.ucb.com/newsroom/press-releases/article/strong-execution-fueling-sustained-company-growth</vt:lpwstr>
      </vt:variant>
      <vt:variant>
        <vt:lpwstr/>
      </vt:variant>
      <vt:variant>
        <vt:i4>393217</vt:i4>
      </vt:variant>
      <vt:variant>
        <vt:i4>3</vt:i4>
      </vt:variant>
      <vt:variant>
        <vt:i4>0</vt:i4>
      </vt:variant>
      <vt:variant>
        <vt:i4>5</vt:i4>
      </vt:variant>
      <vt:variant>
        <vt:lpwstr>https://clinicaltrials.gov/study/NCT06624228</vt:lpwstr>
      </vt:variant>
      <vt:variant>
        <vt:lpwstr/>
      </vt:variant>
      <vt:variant>
        <vt:i4>1507352</vt:i4>
      </vt:variant>
      <vt:variant>
        <vt:i4>0</vt:i4>
      </vt:variant>
      <vt:variant>
        <vt:i4>0</vt:i4>
      </vt:variant>
      <vt:variant>
        <vt:i4>5</vt:i4>
      </vt:variant>
      <vt:variant>
        <vt:lpwstr>https://www.ucb.com/newsroom/press-releases/article/bimzelxrvbimekizumab-superior-to-skyrizir-risankizumab-in-be-bold-first-head-to-head-study-in-active-psoriatic-arthritis-psa-to-demonstrate-superiority-in-acr50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Knorn, Irene</cp:lastModifiedBy>
  <cp:revision>24</cp:revision>
  <dcterms:created xsi:type="dcterms:W3CDTF">2026-03-11T17:00:00Z</dcterms:created>
  <dcterms:modified xsi:type="dcterms:W3CDTF">2026-03-11T19:05:00Z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