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245EB5" w14:paraId="59788E9E" w14:textId="77777777" w:rsidTr="00B327A6">
        <w:trPr>
          <w:jc w:val="center"/>
        </w:trPr>
        <w:tc>
          <w:tcPr>
            <w:tcW w:w="9504" w:type="dxa"/>
          </w:tcPr>
          <w:p w14:paraId="0FE74390" w14:textId="28D4E70D" w:rsidR="00330177" w:rsidRDefault="00330177" w:rsidP="002E6873">
            <w:pPr>
              <w:jc w:val="center"/>
              <w:rPr>
                <w:b/>
                <w:bCs/>
                <w:color w:val="002060"/>
                <w:sz w:val="32"/>
                <w:szCs w:val="32"/>
              </w:rPr>
            </w:pPr>
            <w:r w:rsidRPr="00D5078E">
              <w:rPr>
                <w:noProof/>
              </w:rPr>
              <w:drawing>
                <wp:inline distT="0" distB="0" distL="0" distR="0" wp14:anchorId="0AB09A45" wp14:editId="238C4D5E">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F1302778-5229-48C8-B89B-903E440F6E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14:paraId="461EDB6E" w14:textId="77777777" w:rsidR="00330177" w:rsidRPr="00942C19" w:rsidRDefault="00330177" w:rsidP="002E6873">
            <w:pPr>
              <w:jc w:val="center"/>
              <w:rPr>
                <w:b/>
                <w:bCs/>
                <w:color w:val="002060"/>
              </w:rPr>
            </w:pPr>
          </w:p>
          <w:p w14:paraId="4D9BD440" w14:textId="7FA75679" w:rsidR="002E6873" w:rsidRDefault="00BA4A68" w:rsidP="00942C19">
            <w:pPr>
              <w:jc w:val="center"/>
              <w:rPr>
                <w:b/>
                <w:bCs/>
                <w:color w:val="002060"/>
                <w:sz w:val="32"/>
                <w:szCs w:val="32"/>
              </w:rPr>
            </w:pPr>
            <w:r>
              <w:rPr>
                <w:b/>
                <w:bCs/>
                <w:color w:val="002060"/>
                <w:sz w:val="32"/>
                <w:szCs w:val="32"/>
              </w:rPr>
              <w:t xml:space="preserve">Lilly reports positive Phase 3 topline results for </w:t>
            </w:r>
            <w:proofErr w:type="spellStart"/>
            <w:r w:rsidR="00FB7672">
              <w:rPr>
                <w:b/>
                <w:bCs/>
                <w:color w:val="002060"/>
                <w:sz w:val="32"/>
                <w:szCs w:val="32"/>
              </w:rPr>
              <w:t>Ebglyss</w:t>
            </w:r>
            <w:proofErr w:type="spellEnd"/>
            <w:r w:rsidR="00FB7672">
              <w:rPr>
                <w:b/>
                <w:bCs/>
                <w:color w:val="002060"/>
                <w:sz w:val="32"/>
                <w:szCs w:val="32"/>
              </w:rPr>
              <w:t xml:space="preserve"> </w:t>
            </w:r>
            <w:r>
              <w:rPr>
                <w:b/>
                <w:bCs/>
                <w:color w:val="002060"/>
                <w:sz w:val="32"/>
                <w:szCs w:val="32"/>
              </w:rPr>
              <w:t>in pediatric moderate-to severe AD; plans regulatory submissions for label expansion</w:t>
            </w:r>
          </w:p>
          <w:p w14:paraId="4A9D2127" w14:textId="77777777" w:rsidR="00FB75D6" w:rsidRDefault="00FB75D6" w:rsidP="00942C19">
            <w:pPr>
              <w:jc w:val="center"/>
              <w:rPr>
                <w:b/>
                <w:bCs/>
                <w:color w:val="002060"/>
                <w:sz w:val="32"/>
                <w:szCs w:val="32"/>
              </w:rPr>
            </w:pP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BD5D4B" w:rsidRPr="00D5078E" w14:paraId="63E4D485" w14:textId="77777777" w:rsidTr="00FA2534">
              <w:trPr>
                <w:trHeight w:val="195"/>
                <w:jc w:val="center"/>
              </w:trPr>
              <w:tc>
                <w:tcPr>
                  <w:tcW w:w="4637" w:type="dxa"/>
                  <w:tcMar>
                    <w:left w:w="105" w:type="dxa"/>
                    <w:right w:w="105" w:type="dxa"/>
                  </w:tcMar>
                  <w:vAlign w:val="center"/>
                </w:tcPr>
                <w:p w14:paraId="612D3CFA" w14:textId="5E806F33" w:rsidR="00BD5D4B" w:rsidRDefault="00A63C55" w:rsidP="00F069E1">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Company: </w:t>
                  </w:r>
                  <w:r w:rsidR="00781A3B">
                    <w:rPr>
                      <w:rFonts w:ascii="Aptos" w:eastAsia="Aptos" w:hAnsi="Aptos" w:cs="Aptos"/>
                      <w:color w:val="171717" w:themeColor="background2" w:themeShade="1A"/>
                      <w:sz w:val="16"/>
                      <w:szCs w:val="16"/>
                    </w:rPr>
                    <w:t>Eli Lilly</w:t>
                  </w:r>
                </w:p>
                <w:p w14:paraId="6470EEFF" w14:textId="1D8956AA" w:rsidR="00A63C55" w:rsidRPr="00A63C55" w:rsidRDefault="00A63C55" w:rsidP="00A63C55">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Drug: </w:t>
                  </w:r>
                  <w:proofErr w:type="spellStart"/>
                  <w:r w:rsidR="00E65FF1" w:rsidRPr="00D303F5">
                    <w:rPr>
                      <w:rFonts w:ascii="Aptos" w:eastAsia="Aptos" w:hAnsi="Aptos" w:cs="Aptos"/>
                      <w:color w:val="171717" w:themeColor="background2" w:themeShade="1A"/>
                      <w:sz w:val="16"/>
                      <w:szCs w:val="16"/>
                    </w:rPr>
                    <w:t>Ebglyss</w:t>
                  </w:r>
                  <w:proofErr w:type="spellEnd"/>
                  <w:r w:rsidR="00E65FF1" w:rsidRPr="00D303F5">
                    <w:rPr>
                      <w:rFonts w:ascii="Aptos" w:eastAsia="Aptos" w:hAnsi="Aptos" w:cs="Aptos"/>
                      <w:color w:val="171717" w:themeColor="background2" w:themeShade="1A"/>
                      <w:sz w:val="16"/>
                      <w:szCs w:val="16"/>
                    </w:rPr>
                    <w:t xml:space="preserve"> </w:t>
                  </w:r>
                  <w:r w:rsidR="00D303F5" w:rsidRPr="00D303F5">
                    <w:rPr>
                      <w:rFonts w:ascii="Aptos" w:eastAsia="Aptos" w:hAnsi="Aptos" w:cs="Aptos"/>
                      <w:color w:val="171717" w:themeColor="background2" w:themeShade="1A"/>
                      <w:sz w:val="16"/>
                      <w:szCs w:val="16"/>
                    </w:rPr>
                    <w:t>(lebrikizumab,</w:t>
                  </w:r>
                  <w:r w:rsidR="00D303F5">
                    <w:rPr>
                      <w:rFonts w:ascii="Aptos" w:eastAsia="Aptos" w:hAnsi="Aptos" w:cs="Aptos"/>
                      <w:color w:val="171717" w:themeColor="background2" w:themeShade="1A"/>
                      <w:sz w:val="16"/>
                      <w:szCs w:val="16"/>
                    </w:rPr>
                    <w:t xml:space="preserve"> SC</w:t>
                  </w:r>
                  <w:r w:rsidR="00D303F5" w:rsidRPr="00D303F5">
                    <w:rPr>
                      <w:rFonts w:ascii="Aptos" w:eastAsia="Aptos" w:hAnsi="Aptos" w:cs="Aptos"/>
                      <w:color w:val="171717" w:themeColor="background2" w:themeShade="1A"/>
                      <w:sz w:val="16"/>
                      <w:szCs w:val="16"/>
                    </w:rPr>
                    <w:t xml:space="preserve"> IL-13 inhibitor)</w:t>
                  </w:r>
                </w:p>
              </w:tc>
              <w:tc>
                <w:tcPr>
                  <w:tcW w:w="4637" w:type="dxa"/>
                  <w:tcMar>
                    <w:left w:w="105" w:type="dxa"/>
                    <w:right w:w="105" w:type="dxa"/>
                  </w:tcMar>
                  <w:vAlign w:val="center"/>
                </w:tcPr>
                <w:p w14:paraId="48EE8D15" w14:textId="0779A24C" w:rsidR="00BD5D4B" w:rsidRDefault="00A63C55" w:rsidP="00F069E1">
                  <w:pPr>
                    <w:jc w:val="center"/>
                    <w:rPr>
                      <w:color w:val="171717" w:themeColor="background2" w:themeShade="1A"/>
                      <w:sz w:val="16"/>
                      <w:szCs w:val="16"/>
                    </w:rPr>
                  </w:pPr>
                  <w:r w:rsidRPr="00A63C55">
                    <w:rPr>
                      <w:b/>
                      <w:bCs/>
                      <w:color w:val="171717" w:themeColor="background2" w:themeShade="1A"/>
                      <w:sz w:val="16"/>
                      <w:szCs w:val="16"/>
                    </w:rPr>
                    <w:t>Date:</w:t>
                  </w:r>
                  <w:r>
                    <w:rPr>
                      <w:color w:val="171717" w:themeColor="background2" w:themeShade="1A"/>
                      <w:sz w:val="16"/>
                      <w:szCs w:val="16"/>
                    </w:rPr>
                    <w:t xml:space="preserve"> </w:t>
                  </w:r>
                  <w:r w:rsidR="009950DD">
                    <w:rPr>
                      <w:color w:val="171717" w:themeColor="background2" w:themeShade="1A"/>
                      <w:sz w:val="16"/>
                      <w:szCs w:val="16"/>
                    </w:rPr>
                    <w:t>March 16</w:t>
                  </w:r>
                  <w:r w:rsidR="008F386D">
                    <w:rPr>
                      <w:color w:val="171717" w:themeColor="background2" w:themeShade="1A"/>
                      <w:sz w:val="16"/>
                      <w:szCs w:val="16"/>
                    </w:rPr>
                    <w:t>, 2026</w:t>
                  </w:r>
                </w:p>
                <w:p w14:paraId="5B8DA44C" w14:textId="450B2E1F" w:rsidR="00A63C55" w:rsidRPr="00A63C55" w:rsidRDefault="00A63C55" w:rsidP="00F069E1">
                  <w:pPr>
                    <w:jc w:val="center"/>
                    <w:rPr>
                      <w:color w:val="171717" w:themeColor="background2" w:themeShade="1A"/>
                      <w:sz w:val="16"/>
                      <w:szCs w:val="16"/>
                    </w:rPr>
                  </w:pPr>
                  <w:r w:rsidRPr="00A63C55">
                    <w:rPr>
                      <w:b/>
                      <w:bCs/>
                      <w:color w:val="171717" w:themeColor="background2" w:themeShade="1A"/>
                      <w:sz w:val="16"/>
                      <w:szCs w:val="16"/>
                    </w:rPr>
                    <w:t>Source(s):</w:t>
                  </w:r>
                  <w:r>
                    <w:rPr>
                      <w:color w:val="171717" w:themeColor="background2" w:themeShade="1A"/>
                      <w:sz w:val="16"/>
                      <w:szCs w:val="16"/>
                    </w:rPr>
                    <w:t xml:space="preserve"> </w:t>
                  </w:r>
                  <w:hyperlink r:id="rId9" w:history="1">
                    <w:r w:rsidR="009950DD" w:rsidRPr="00383A43">
                      <w:rPr>
                        <w:rStyle w:val="Hyperlink"/>
                        <w:sz w:val="16"/>
                        <w:szCs w:val="16"/>
                      </w:rPr>
                      <w:t>Press Release</w:t>
                    </w:r>
                  </w:hyperlink>
                  <w:r w:rsidR="009950DD">
                    <w:rPr>
                      <w:color w:val="171717" w:themeColor="background2" w:themeShade="1A"/>
                      <w:sz w:val="16"/>
                      <w:szCs w:val="16"/>
                    </w:rPr>
                    <w:t xml:space="preserve"> </w:t>
                  </w:r>
                </w:p>
              </w:tc>
            </w:tr>
          </w:tbl>
          <w:p w14:paraId="723B97E4" w14:textId="77777777" w:rsidR="00017A79" w:rsidRPr="00942C19" w:rsidRDefault="00017A79" w:rsidP="002E6873">
            <w:pPr>
              <w:jc w:val="center"/>
              <w:rPr>
                <w:b/>
                <w:bCs/>
                <w:color w:val="002060"/>
              </w:rPr>
            </w:pPr>
          </w:p>
          <w:p w14:paraId="4357AEE4" w14:textId="77777777" w:rsidR="002E6873" w:rsidRPr="002E6873" w:rsidRDefault="002E6873" w:rsidP="002E6873">
            <w:pPr>
              <w:rPr>
                <w:b/>
                <w:bCs/>
                <w:color w:val="002060"/>
                <w:sz w:val="28"/>
                <w:szCs w:val="28"/>
              </w:rPr>
            </w:pPr>
            <w:r w:rsidRPr="002E6873">
              <w:rPr>
                <w:b/>
                <w:bCs/>
                <w:color w:val="002060"/>
                <w:sz w:val="28"/>
                <w:szCs w:val="28"/>
              </w:rPr>
              <w:t>What happened:</w:t>
            </w:r>
          </w:p>
          <w:p w14:paraId="53131E00" w14:textId="51AD53CC" w:rsidR="002E6873" w:rsidRPr="00966ED0" w:rsidRDefault="00781A3B" w:rsidP="000A635E">
            <w:pPr>
              <w:pStyle w:val="ListParagraph"/>
              <w:numPr>
                <w:ilvl w:val="0"/>
                <w:numId w:val="11"/>
              </w:numPr>
              <w:rPr>
                <w:color w:val="171717" w:themeColor="background2" w:themeShade="1A"/>
                <w:sz w:val="22"/>
                <w:szCs w:val="22"/>
              </w:rPr>
            </w:pPr>
            <w:r w:rsidRPr="00966ED0">
              <w:rPr>
                <w:color w:val="171717" w:themeColor="background2" w:themeShade="1A"/>
                <w:sz w:val="22"/>
                <w:szCs w:val="22"/>
              </w:rPr>
              <w:t xml:space="preserve">Lilly announced </w:t>
            </w:r>
            <w:r w:rsidRPr="00966ED0">
              <w:rPr>
                <w:b/>
                <w:bCs/>
                <w:color w:val="171717" w:themeColor="background2" w:themeShade="1A"/>
                <w:sz w:val="22"/>
                <w:szCs w:val="22"/>
              </w:rPr>
              <w:t xml:space="preserve">positive topline results from the Phase 3 </w:t>
            </w:r>
            <w:hyperlink r:id="rId10" w:history="1">
              <w:r w:rsidRPr="00966ED0">
                <w:rPr>
                  <w:rStyle w:val="Hyperlink"/>
                  <w:b/>
                  <w:bCs/>
                  <w:sz w:val="22"/>
                  <w:szCs w:val="22"/>
                </w:rPr>
                <w:t>ADorable-1</w:t>
              </w:r>
            </w:hyperlink>
            <w:r w:rsidR="008F386D" w:rsidRPr="00966ED0">
              <w:rPr>
                <w:color w:val="171717" w:themeColor="background2" w:themeShade="1A"/>
                <w:sz w:val="22"/>
                <w:szCs w:val="22"/>
              </w:rPr>
              <w:t xml:space="preserve"> trial evaluating </w:t>
            </w:r>
            <w:proofErr w:type="spellStart"/>
            <w:r w:rsidR="00FB7672" w:rsidRPr="00966ED0">
              <w:rPr>
                <w:color w:val="171717" w:themeColor="background2" w:themeShade="1A"/>
                <w:sz w:val="22"/>
                <w:szCs w:val="22"/>
              </w:rPr>
              <w:t>Ebglyss</w:t>
            </w:r>
            <w:proofErr w:type="spellEnd"/>
            <w:r w:rsidR="00FB7672" w:rsidRPr="00966ED0">
              <w:rPr>
                <w:color w:val="171717" w:themeColor="background2" w:themeShade="1A"/>
                <w:sz w:val="22"/>
                <w:szCs w:val="22"/>
              </w:rPr>
              <w:t xml:space="preserve"> </w:t>
            </w:r>
            <w:r w:rsidR="008F386D" w:rsidRPr="00966ED0">
              <w:rPr>
                <w:color w:val="171717" w:themeColor="background2" w:themeShade="1A"/>
                <w:sz w:val="22"/>
                <w:szCs w:val="22"/>
              </w:rPr>
              <w:t xml:space="preserve">in pediatric patients aged </w:t>
            </w:r>
            <w:r w:rsidR="002037C6">
              <w:rPr>
                <w:color w:val="171717" w:themeColor="background2" w:themeShade="1A"/>
                <w:sz w:val="22"/>
                <w:szCs w:val="22"/>
              </w:rPr>
              <w:t>six</w:t>
            </w:r>
            <w:r w:rsidR="00AB7B0E">
              <w:rPr>
                <w:color w:val="171717" w:themeColor="background2" w:themeShade="1A"/>
                <w:sz w:val="22"/>
                <w:szCs w:val="22"/>
              </w:rPr>
              <w:t xml:space="preserve"> </w:t>
            </w:r>
            <w:r w:rsidR="008F386D" w:rsidRPr="00966ED0">
              <w:rPr>
                <w:color w:val="171717" w:themeColor="background2" w:themeShade="1A"/>
                <w:sz w:val="22"/>
                <w:szCs w:val="22"/>
              </w:rPr>
              <w:t>months to</w:t>
            </w:r>
            <w:r w:rsidR="008477B4">
              <w:rPr>
                <w:color w:val="171717" w:themeColor="background2" w:themeShade="1A"/>
                <w:sz w:val="22"/>
                <w:szCs w:val="22"/>
              </w:rPr>
              <w:t xml:space="preserve"> </w:t>
            </w:r>
            <w:r w:rsidR="008477B4" w:rsidRPr="008477B4">
              <w:rPr>
                <w:color w:val="171717" w:themeColor="background2" w:themeShade="1A"/>
                <w:sz w:val="22"/>
                <w:szCs w:val="22"/>
              </w:rPr>
              <w:t>&lt;</w:t>
            </w:r>
            <w:r w:rsidR="008F386D" w:rsidRPr="00966ED0">
              <w:rPr>
                <w:color w:val="171717" w:themeColor="background2" w:themeShade="1A"/>
                <w:sz w:val="22"/>
                <w:szCs w:val="22"/>
              </w:rPr>
              <w:t>18 years with moderate</w:t>
            </w:r>
            <w:r w:rsidR="002037C6">
              <w:rPr>
                <w:color w:val="171717" w:themeColor="background2" w:themeShade="1A"/>
                <w:sz w:val="22"/>
                <w:szCs w:val="22"/>
              </w:rPr>
              <w:t>-</w:t>
            </w:r>
            <w:r w:rsidR="008F386D" w:rsidRPr="00966ED0">
              <w:rPr>
                <w:color w:val="171717" w:themeColor="background2" w:themeShade="1A"/>
                <w:sz w:val="22"/>
                <w:szCs w:val="22"/>
              </w:rPr>
              <w:t>to</w:t>
            </w:r>
            <w:r w:rsidR="002037C6">
              <w:rPr>
                <w:color w:val="171717" w:themeColor="background2" w:themeShade="1A"/>
                <w:sz w:val="22"/>
                <w:szCs w:val="22"/>
              </w:rPr>
              <w:t>-</w:t>
            </w:r>
            <w:r w:rsidR="008F386D" w:rsidRPr="00966ED0">
              <w:rPr>
                <w:color w:val="171717" w:themeColor="background2" w:themeShade="1A"/>
                <w:sz w:val="22"/>
                <w:szCs w:val="22"/>
              </w:rPr>
              <w:t>severe AD</w:t>
            </w:r>
          </w:p>
          <w:p w14:paraId="2AFF3730" w14:textId="2B396B96" w:rsidR="008F386D" w:rsidRPr="00966ED0" w:rsidRDefault="00004512" w:rsidP="000A635E">
            <w:pPr>
              <w:pStyle w:val="ListParagraph"/>
              <w:numPr>
                <w:ilvl w:val="0"/>
                <w:numId w:val="11"/>
              </w:numPr>
              <w:rPr>
                <w:color w:val="171717" w:themeColor="background2" w:themeShade="1A"/>
                <w:sz w:val="22"/>
                <w:szCs w:val="22"/>
              </w:rPr>
            </w:pPr>
            <w:r w:rsidRPr="00022B3C">
              <w:rPr>
                <w:color w:val="171717" w:themeColor="background2" w:themeShade="1A"/>
                <w:sz w:val="22"/>
                <w:szCs w:val="22"/>
              </w:rPr>
              <w:t>B</w:t>
            </w:r>
            <w:r w:rsidR="008F386D" w:rsidRPr="00022B3C">
              <w:rPr>
                <w:color w:val="171717" w:themeColor="background2" w:themeShade="1A"/>
                <w:sz w:val="22"/>
                <w:szCs w:val="22"/>
              </w:rPr>
              <w:t>oth</w:t>
            </w:r>
            <w:r w:rsidR="008F386D" w:rsidRPr="00966ED0">
              <w:rPr>
                <w:b/>
                <w:bCs/>
                <w:color w:val="171717" w:themeColor="background2" w:themeShade="1A"/>
                <w:sz w:val="22"/>
                <w:szCs w:val="22"/>
              </w:rPr>
              <w:t xml:space="preserve"> co-primary endpoints </w:t>
            </w:r>
            <w:r>
              <w:rPr>
                <w:b/>
                <w:bCs/>
                <w:color w:val="171717" w:themeColor="background2" w:themeShade="1A"/>
                <w:sz w:val="22"/>
                <w:szCs w:val="22"/>
              </w:rPr>
              <w:t xml:space="preserve">met </w:t>
            </w:r>
            <w:r w:rsidR="008F386D" w:rsidRPr="00966ED0">
              <w:rPr>
                <w:b/>
                <w:bCs/>
                <w:color w:val="171717" w:themeColor="background2" w:themeShade="1A"/>
                <w:sz w:val="22"/>
                <w:szCs w:val="22"/>
              </w:rPr>
              <w:t>at Week 16</w:t>
            </w:r>
            <w:r w:rsidR="008F386D" w:rsidRPr="00966ED0">
              <w:rPr>
                <w:color w:val="171717" w:themeColor="background2" w:themeShade="1A"/>
                <w:sz w:val="22"/>
                <w:szCs w:val="22"/>
              </w:rPr>
              <w:t xml:space="preserve">, demonstrating </w:t>
            </w:r>
            <w:r w:rsidR="008A17B2" w:rsidRPr="008A17B2">
              <w:rPr>
                <w:color w:val="171717" w:themeColor="background2" w:themeShade="1A"/>
                <w:sz w:val="22"/>
                <w:szCs w:val="22"/>
              </w:rPr>
              <w:t xml:space="preserve">meaningful </w:t>
            </w:r>
            <w:r w:rsidR="008F386D" w:rsidRPr="00966ED0">
              <w:rPr>
                <w:color w:val="171717" w:themeColor="background2" w:themeShade="1A"/>
                <w:sz w:val="22"/>
                <w:szCs w:val="22"/>
              </w:rPr>
              <w:t>improvements vs placebo in disease severity and skin clearance</w:t>
            </w:r>
            <w:r w:rsidR="00603F3C" w:rsidRPr="00966ED0">
              <w:rPr>
                <w:color w:val="171717" w:themeColor="background2" w:themeShade="1A"/>
                <w:sz w:val="22"/>
                <w:szCs w:val="22"/>
              </w:rPr>
              <w:t xml:space="preserve"> (</w:t>
            </w:r>
            <w:r w:rsidR="00603F3C" w:rsidRPr="00966ED0">
              <w:rPr>
                <w:b/>
                <w:bCs/>
                <w:color w:val="171717" w:themeColor="background2" w:themeShade="1A"/>
                <w:sz w:val="22"/>
                <w:szCs w:val="22"/>
              </w:rPr>
              <w:t>EASI-75</w:t>
            </w:r>
            <w:r w:rsidR="00717A5F">
              <w:rPr>
                <w:b/>
                <w:bCs/>
                <w:color w:val="171717" w:themeColor="background2" w:themeShade="1A"/>
                <w:sz w:val="22"/>
                <w:szCs w:val="22"/>
              </w:rPr>
              <w:t>:</w:t>
            </w:r>
            <w:r w:rsidR="00662049">
              <w:rPr>
                <w:b/>
                <w:bCs/>
                <w:color w:val="171717" w:themeColor="background2" w:themeShade="1A"/>
                <w:sz w:val="22"/>
                <w:szCs w:val="22"/>
              </w:rPr>
              <w:t xml:space="preserve"> </w:t>
            </w:r>
            <w:r w:rsidR="00717A5F" w:rsidRPr="006D0B21">
              <w:rPr>
                <w:color w:val="171717" w:themeColor="background2" w:themeShade="1A"/>
                <w:sz w:val="22"/>
                <w:szCs w:val="22"/>
              </w:rPr>
              <w:t>63%</w:t>
            </w:r>
            <w:r w:rsidR="00603F3C" w:rsidRPr="006D0B21">
              <w:rPr>
                <w:color w:val="171717" w:themeColor="background2" w:themeShade="1A"/>
                <w:sz w:val="22"/>
                <w:szCs w:val="22"/>
              </w:rPr>
              <w:t xml:space="preserve"> vs 22%</w:t>
            </w:r>
            <w:r w:rsidR="006D0B21" w:rsidRPr="006D0B21">
              <w:rPr>
                <w:b/>
                <w:bCs/>
                <w:color w:val="171717" w:themeColor="background2" w:themeShade="1A"/>
                <w:sz w:val="22"/>
                <w:szCs w:val="22"/>
              </w:rPr>
              <w:t>; IGA 0/1</w:t>
            </w:r>
            <w:r w:rsidR="006D0B21">
              <w:rPr>
                <w:color w:val="171717" w:themeColor="background2" w:themeShade="1A"/>
                <w:sz w:val="22"/>
                <w:szCs w:val="22"/>
              </w:rPr>
              <w:t>:</w:t>
            </w:r>
            <w:r w:rsidR="006D0B21" w:rsidRPr="006D0B21">
              <w:rPr>
                <w:color w:val="171717" w:themeColor="background2" w:themeShade="1A"/>
                <w:sz w:val="22"/>
                <w:szCs w:val="22"/>
              </w:rPr>
              <w:t xml:space="preserve"> 44% vs 15%</w:t>
            </w:r>
            <w:r w:rsidR="00603F3C" w:rsidRPr="006D0B21">
              <w:rPr>
                <w:color w:val="171717" w:themeColor="background2" w:themeShade="1A"/>
                <w:sz w:val="22"/>
                <w:szCs w:val="22"/>
              </w:rPr>
              <w:t>)</w:t>
            </w:r>
          </w:p>
          <w:p w14:paraId="2D07837F" w14:textId="5BE13304" w:rsidR="00D303F5" w:rsidRPr="00966ED0" w:rsidRDefault="00FB7672" w:rsidP="000A635E">
            <w:pPr>
              <w:pStyle w:val="ListParagraph"/>
              <w:numPr>
                <w:ilvl w:val="0"/>
                <w:numId w:val="11"/>
              </w:numPr>
              <w:rPr>
                <w:color w:val="000000" w:themeColor="text1"/>
                <w:sz w:val="22"/>
                <w:szCs w:val="22"/>
              </w:rPr>
            </w:pPr>
            <w:proofErr w:type="spellStart"/>
            <w:r w:rsidRPr="00966ED0">
              <w:rPr>
                <w:color w:val="000000" w:themeColor="text1"/>
                <w:sz w:val="22"/>
                <w:szCs w:val="22"/>
              </w:rPr>
              <w:t>Ebglyss</w:t>
            </w:r>
            <w:proofErr w:type="spellEnd"/>
            <w:r w:rsidRPr="00966ED0">
              <w:rPr>
                <w:color w:val="000000" w:themeColor="text1"/>
                <w:sz w:val="22"/>
                <w:szCs w:val="22"/>
              </w:rPr>
              <w:t xml:space="preserve"> </w:t>
            </w:r>
            <w:r w:rsidR="00484C8B" w:rsidRPr="00966ED0">
              <w:rPr>
                <w:color w:val="000000" w:themeColor="text1"/>
                <w:sz w:val="22"/>
                <w:szCs w:val="22"/>
              </w:rPr>
              <w:t>showed</w:t>
            </w:r>
            <w:r w:rsidR="00D303F5" w:rsidRPr="00966ED0">
              <w:rPr>
                <w:color w:val="000000" w:themeColor="text1"/>
                <w:sz w:val="22"/>
                <w:szCs w:val="22"/>
              </w:rPr>
              <w:t xml:space="preserve"> a </w:t>
            </w:r>
            <w:r w:rsidR="00D303F5" w:rsidRPr="00966ED0">
              <w:rPr>
                <w:b/>
                <w:bCs/>
                <w:color w:val="000000" w:themeColor="text1"/>
                <w:sz w:val="22"/>
                <w:szCs w:val="22"/>
              </w:rPr>
              <w:t>safety profile consistent with previous adult and adolescent studies</w:t>
            </w:r>
            <w:r w:rsidR="00D303F5" w:rsidRPr="00966ED0">
              <w:rPr>
                <w:color w:val="000000" w:themeColor="text1"/>
                <w:sz w:val="22"/>
                <w:szCs w:val="22"/>
              </w:rPr>
              <w:t xml:space="preserve">, with </w:t>
            </w:r>
            <w:r w:rsidR="00D303F5" w:rsidRPr="00966ED0">
              <w:rPr>
                <w:b/>
                <w:bCs/>
                <w:color w:val="000000" w:themeColor="text1"/>
                <w:sz w:val="22"/>
                <w:szCs w:val="22"/>
              </w:rPr>
              <w:t>no new safety signals identified</w:t>
            </w:r>
          </w:p>
          <w:p w14:paraId="75C69B25" w14:textId="4596ACE9" w:rsidR="00D303F5" w:rsidRPr="00966ED0" w:rsidRDefault="00D303F5" w:rsidP="000A635E">
            <w:pPr>
              <w:pStyle w:val="ListParagraph"/>
              <w:numPr>
                <w:ilvl w:val="0"/>
                <w:numId w:val="11"/>
              </w:numPr>
              <w:rPr>
                <w:b/>
                <w:bCs/>
                <w:color w:val="000000" w:themeColor="text1"/>
                <w:sz w:val="22"/>
                <w:szCs w:val="22"/>
              </w:rPr>
            </w:pPr>
            <w:r w:rsidRPr="00966ED0">
              <w:rPr>
                <w:color w:val="000000" w:themeColor="text1"/>
                <w:sz w:val="22"/>
                <w:szCs w:val="22"/>
              </w:rPr>
              <w:t xml:space="preserve">Lilly plans to submit these data to </w:t>
            </w:r>
            <w:r w:rsidR="003B419A">
              <w:rPr>
                <w:color w:val="000000" w:themeColor="text1"/>
                <w:sz w:val="22"/>
                <w:szCs w:val="22"/>
              </w:rPr>
              <w:t>US</w:t>
            </w:r>
            <w:r w:rsidRPr="00966ED0">
              <w:rPr>
                <w:color w:val="000000" w:themeColor="text1"/>
                <w:sz w:val="22"/>
                <w:szCs w:val="22"/>
              </w:rPr>
              <w:t xml:space="preserve"> and global </w:t>
            </w:r>
            <w:r w:rsidR="00603F3C" w:rsidRPr="00966ED0">
              <w:rPr>
                <w:color w:val="000000" w:themeColor="text1"/>
                <w:sz w:val="22"/>
                <w:szCs w:val="22"/>
              </w:rPr>
              <w:t xml:space="preserve">regulators to support a potential </w:t>
            </w:r>
            <w:r w:rsidR="00603F3C" w:rsidRPr="00966ED0">
              <w:rPr>
                <w:b/>
                <w:bCs/>
                <w:color w:val="000000" w:themeColor="text1"/>
                <w:sz w:val="22"/>
                <w:szCs w:val="22"/>
              </w:rPr>
              <w:t xml:space="preserve">label expansion of </w:t>
            </w:r>
            <w:proofErr w:type="spellStart"/>
            <w:r w:rsidR="00C83216" w:rsidRPr="00966ED0">
              <w:rPr>
                <w:b/>
                <w:bCs/>
                <w:color w:val="000000" w:themeColor="text1"/>
                <w:sz w:val="22"/>
                <w:szCs w:val="22"/>
              </w:rPr>
              <w:t>Ebglyss</w:t>
            </w:r>
            <w:proofErr w:type="spellEnd"/>
            <w:r w:rsidR="00C83216" w:rsidRPr="00966ED0">
              <w:rPr>
                <w:b/>
                <w:bCs/>
                <w:color w:val="000000" w:themeColor="text1"/>
                <w:sz w:val="22"/>
                <w:szCs w:val="22"/>
              </w:rPr>
              <w:t xml:space="preserve"> </w:t>
            </w:r>
            <w:r w:rsidR="00603F3C" w:rsidRPr="00966ED0">
              <w:rPr>
                <w:b/>
                <w:bCs/>
                <w:color w:val="000000" w:themeColor="text1"/>
                <w:sz w:val="22"/>
                <w:szCs w:val="22"/>
              </w:rPr>
              <w:t xml:space="preserve">in younger pediatric populations </w:t>
            </w:r>
          </w:p>
          <w:p w14:paraId="2057B00F" w14:textId="77777777" w:rsidR="00E45A8E" w:rsidRPr="00966ED0" w:rsidRDefault="00E45A8E" w:rsidP="00E45A8E">
            <w:pPr>
              <w:pStyle w:val="ListParagraph"/>
              <w:numPr>
                <w:ilvl w:val="1"/>
                <w:numId w:val="9"/>
              </w:numPr>
              <w:rPr>
                <w:color w:val="000000" w:themeColor="text1"/>
                <w:sz w:val="22"/>
                <w:szCs w:val="22"/>
              </w:rPr>
            </w:pPr>
            <w:r w:rsidRPr="00966ED0">
              <w:rPr>
                <w:color w:val="000000" w:themeColor="text1"/>
                <w:sz w:val="22"/>
                <w:szCs w:val="22"/>
              </w:rPr>
              <w:t xml:space="preserve">Additional results from </w:t>
            </w:r>
            <w:hyperlink r:id="rId11" w:history="1">
              <w:r w:rsidRPr="00966ED0">
                <w:rPr>
                  <w:rStyle w:val="Hyperlink"/>
                  <w:b/>
                  <w:bCs/>
                  <w:sz w:val="22"/>
                  <w:szCs w:val="22"/>
                </w:rPr>
                <w:t>ADorable-1</w:t>
              </w:r>
            </w:hyperlink>
            <w:r w:rsidRPr="00966ED0">
              <w:rPr>
                <w:b/>
                <w:bCs/>
                <w:color w:val="171717" w:themeColor="background2" w:themeShade="1A"/>
                <w:sz w:val="22"/>
                <w:szCs w:val="22"/>
              </w:rPr>
              <w:t xml:space="preserve"> </w:t>
            </w:r>
            <w:r w:rsidRPr="00966ED0">
              <w:rPr>
                <w:b/>
                <w:bCs/>
                <w:color w:val="000000" w:themeColor="text1"/>
                <w:sz w:val="22"/>
                <w:szCs w:val="22"/>
              </w:rPr>
              <w:t xml:space="preserve">and the 52-week extension study </w:t>
            </w:r>
            <w:hyperlink r:id="rId12" w:history="1">
              <w:r w:rsidRPr="00E1453D">
                <w:rPr>
                  <w:rStyle w:val="Hyperlink"/>
                  <w:b/>
                  <w:bCs/>
                  <w:sz w:val="22"/>
                  <w:szCs w:val="22"/>
                </w:rPr>
                <w:t>A</w:t>
              </w:r>
              <w:r>
                <w:rPr>
                  <w:rStyle w:val="Hyperlink"/>
                  <w:b/>
                  <w:bCs/>
                  <w:sz w:val="22"/>
                  <w:szCs w:val="22"/>
                </w:rPr>
                <w:t>D</w:t>
              </w:r>
              <w:r w:rsidRPr="00E1453D">
                <w:rPr>
                  <w:rStyle w:val="Hyperlink"/>
                  <w:b/>
                  <w:bCs/>
                  <w:sz w:val="22"/>
                  <w:szCs w:val="22"/>
                </w:rPr>
                <w:t>orable-2</w:t>
              </w:r>
            </w:hyperlink>
            <w:r w:rsidRPr="00E1453D">
              <w:rPr>
                <w:b/>
                <w:bCs/>
                <w:color w:val="171717" w:themeColor="background2" w:themeShade="1A"/>
                <w:sz w:val="22"/>
                <w:szCs w:val="22"/>
              </w:rPr>
              <w:t xml:space="preserve"> </w:t>
            </w:r>
            <w:r w:rsidRPr="00966ED0">
              <w:rPr>
                <w:color w:val="000000" w:themeColor="text1"/>
                <w:sz w:val="22"/>
                <w:szCs w:val="22"/>
              </w:rPr>
              <w:t>are expected later in 2026</w:t>
            </w:r>
          </w:p>
          <w:p w14:paraId="6E661D28" w14:textId="77777777" w:rsidR="00D303F5" w:rsidRPr="00603F3C" w:rsidRDefault="00D303F5" w:rsidP="00D303F5">
            <w:pPr>
              <w:pStyle w:val="ListParagraph"/>
              <w:rPr>
                <w:b/>
                <w:bCs/>
                <w:color w:val="000000" w:themeColor="text1"/>
                <w:sz w:val="22"/>
                <w:szCs w:val="22"/>
              </w:rPr>
            </w:pPr>
          </w:p>
          <w:p w14:paraId="120E1270" w14:textId="77703217" w:rsidR="002E6873" w:rsidRPr="00AE5FF1" w:rsidRDefault="002E6873" w:rsidP="002E6873">
            <w:pPr>
              <w:rPr>
                <w:b/>
                <w:bCs/>
                <w:color w:val="C00000"/>
                <w:sz w:val="28"/>
                <w:szCs w:val="28"/>
              </w:rPr>
            </w:pPr>
            <w:r>
              <w:rPr>
                <w:b/>
                <w:bCs/>
                <w:color w:val="002060"/>
                <w:sz w:val="28"/>
                <w:szCs w:val="28"/>
              </w:rPr>
              <w:t xml:space="preserve">Impact (CI PoV): </w:t>
            </w:r>
            <w:r w:rsidR="007C593F" w:rsidRPr="00AE5FF1">
              <w:rPr>
                <w:b/>
                <w:bCs/>
                <w:color w:val="C00000"/>
                <w:sz w:val="28"/>
                <w:szCs w:val="28"/>
              </w:rPr>
              <w:t>HIGH</w:t>
            </w:r>
          </w:p>
          <w:p w14:paraId="40E60C28" w14:textId="5E4FAD6D" w:rsidR="002E6873" w:rsidRPr="00966ED0" w:rsidRDefault="00BE2ED5" w:rsidP="00966ED0">
            <w:pPr>
              <w:pStyle w:val="ListParagraph"/>
              <w:numPr>
                <w:ilvl w:val="0"/>
                <w:numId w:val="11"/>
              </w:numPr>
              <w:rPr>
                <w:color w:val="171717" w:themeColor="background2" w:themeShade="1A"/>
                <w:sz w:val="22"/>
                <w:szCs w:val="22"/>
              </w:rPr>
            </w:pPr>
            <w:r w:rsidRPr="00966ED0">
              <w:rPr>
                <w:color w:val="171717" w:themeColor="background2" w:themeShade="1A"/>
                <w:sz w:val="22"/>
                <w:szCs w:val="22"/>
              </w:rPr>
              <w:t xml:space="preserve">Positive Phase 3 results </w:t>
            </w:r>
            <w:r w:rsidRPr="00607D69">
              <w:rPr>
                <w:color w:val="171717" w:themeColor="background2" w:themeShade="1A"/>
                <w:sz w:val="22"/>
                <w:szCs w:val="22"/>
              </w:rPr>
              <w:t xml:space="preserve">support lifecycle expansion for </w:t>
            </w:r>
            <w:proofErr w:type="spellStart"/>
            <w:r w:rsidR="00C83216" w:rsidRPr="00607D69">
              <w:rPr>
                <w:color w:val="171717" w:themeColor="background2" w:themeShade="1A"/>
                <w:sz w:val="22"/>
                <w:szCs w:val="22"/>
              </w:rPr>
              <w:t>Ebglyss</w:t>
            </w:r>
            <w:proofErr w:type="spellEnd"/>
            <w:r w:rsidR="00C83216" w:rsidRPr="00607D69">
              <w:rPr>
                <w:color w:val="171717" w:themeColor="background2" w:themeShade="1A"/>
                <w:sz w:val="22"/>
                <w:szCs w:val="22"/>
              </w:rPr>
              <w:t xml:space="preserve"> </w:t>
            </w:r>
            <w:r w:rsidRPr="00607D69">
              <w:rPr>
                <w:color w:val="171717" w:themeColor="background2" w:themeShade="1A"/>
                <w:sz w:val="22"/>
                <w:szCs w:val="22"/>
              </w:rPr>
              <w:t xml:space="preserve">into younger pediatric </w:t>
            </w:r>
            <w:r w:rsidR="00923467" w:rsidRPr="00607D69">
              <w:rPr>
                <w:color w:val="171717" w:themeColor="background2" w:themeShade="1A"/>
                <w:sz w:val="22"/>
                <w:szCs w:val="22"/>
              </w:rPr>
              <w:t>AD populations, extending the pr</w:t>
            </w:r>
            <w:r w:rsidR="00923467" w:rsidRPr="00966ED0">
              <w:rPr>
                <w:color w:val="171717" w:themeColor="background2" w:themeShade="1A"/>
                <w:sz w:val="22"/>
                <w:szCs w:val="22"/>
              </w:rPr>
              <w:t>oduct beyond its current approval in patients ≥12 years old</w:t>
            </w:r>
            <w:r w:rsidR="00AF6464">
              <w:rPr>
                <w:color w:val="171717" w:themeColor="background2" w:themeShade="1A"/>
                <w:sz w:val="22"/>
                <w:szCs w:val="22"/>
              </w:rPr>
              <w:t xml:space="preserve">, </w:t>
            </w:r>
            <w:r w:rsidR="00AF6464" w:rsidRPr="00AF6464">
              <w:rPr>
                <w:color w:val="171717" w:themeColor="background2" w:themeShade="1A"/>
                <w:sz w:val="22"/>
                <w:szCs w:val="22"/>
              </w:rPr>
              <w:t>and enabling Lilly to compete across the full age spectrum of moderate-to-severe AD</w:t>
            </w:r>
          </w:p>
          <w:p w14:paraId="5E78552A" w14:textId="12D9D1A2" w:rsidR="00C15746" w:rsidRPr="00966ED0" w:rsidRDefault="00C24F66" w:rsidP="000A635E">
            <w:pPr>
              <w:pStyle w:val="ListParagraph"/>
              <w:numPr>
                <w:ilvl w:val="0"/>
                <w:numId w:val="11"/>
              </w:numPr>
              <w:rPr>
                <w:color w:val="171717" w:themeColor="background2" w:themeShade="1A"/>
              </w:rPr>
            </w:pPr>
            <w:r w:rsidRPr="00966ED0">
              <w:rPr>
                <w:i/>
                <w:color w:val="0070C0"/>
                <w:sz w:val="22"/>
                <w:szCs w:val="22"/>
              </w:rPr>
              <w:t xml:space="preserve">CI estimates approval of </w:t>
            </w:r>
            <w:proofErr w:type="spellStart"/>
            <w:r w:rsidR="00C83216" w:rsidRPr="00966ED0">
              <w:rPr>
                <w:i/>
                <w:color w:val="0070C0"/>
                <w:sz w:val="22"/>
                <w:szCs w:val="22"/>
              </w:rPr>
              <w:t>Ebglyss</w:t>
            </w:r>
            <w:proofErr w:type="spellEnd"/>
            <w:r w:rsidR="00C83216" w:rsidRPr="00966ED0">
              <w:rPr>
                <w:i/>
                <w:color w:val="0070C0"/>
                <w:sz w:val="22"/>
                <w:szCs w:val="22"/>
              </w:rPr>
              <w:t xml:space="preserve"> </w:t>
            </w:r>
            <w:r w:rsidRPr="00966ED0">
              <w:rPr>
                <w:i/>
                <w:color w:val="0070C0"/>
                <w:sz w:val="22"/>
                <w:szCs w:val="22"/>
              </w:rPr>
              <w:t xml:space="preserve">in younger pediatric AD patients in </w:t>
            </w:r>
            <w:r w:rsidRPr="00966ED0">
              <w:rPr>
                <w:b/>
                <w:bCs/>
                <w:i/>
                <w:color w:val="0070C0"/>
                <w:sz w:val="22"/>
                <w:szCs w:val="22"/>
              </w:rPr>
              <w:t>Q1 2027 US/EU</w:t>
            </w:r>
            <w:r w:rsidR="00280A17">
              <w:rPr>
                <w:b/>
                <w:bCs/>
                <w:i/>
                <w:color w:val="0070C0"/>
                <w:sz w:val="22"/>
                <w:szCs w:val="22"/>
              </w:rPr>
              <w:t xml:space="preserve">, </w:t>
            </w:r>
            <w:r w:rsidR="00280A17">
              <w:rPr>
                <w:i/>
                <w:color w:val="0070C0"/>
                <w:sz w:val="22"/>
                <w:szCs w:val="22"/>
              </w:rPr>
              <w:t xml:space="preserve">assuming </w:t>
            </w:r>
            <w:r w:rsidR="005B56F5">
              <w:rPr>
                <w:i/>
                <w:color w:val="0070C0"/>
                <w:sz w:val="22"/>
                <w:szCs w:val="22"/>
              </w:rPr>
              <w:t>imminent submission</w:t>
            </w:r>
          </w:p>
          <w:p w14:paraId="1FD1BAC8" w14:textId="0DD1C556" w:rsidR="00916215" w:rsidRPr="00BE7D6D" w:rsidRDefault="00916215" w:rsidP="00916215">
            <w:pPr>
              <w:pStyle w:val="ListParagraph"/>
              <w:numPr>
                <w:ilvl w:val="1"/>
                <w:numId w:val="11"/>
              </w:numPr>
              <w:rPr>
                <w:rFonts w:cs="Calibri"/>
                <w:i/>
                <w:color w:val="0070C0"/>
                <w:sz w:val="22"/>
                <w:szCs w:val="22"/>
              </w:rPr>
            </w:pPr>
            <w:r w:rsidRPr="00BE7D6D">
              <w:rPr>
                <w:rFonts w:cs="Calibri"/>
                <w:i/>
                <w:color w:val="0070C0"/>
                <w:sz w:val="22"/>
                <w:szCs w:val="22"/>
              </w:rPr>
              <w:t xml:space="preserve">Recall, </w:t>
            </w:r>
            <w:proofErr w:type="spellStart"/>
            <w:r w:rsidR="00C83216" w:rsidRPr="00BE7D6D">
              <w:rPr>
                <w:rFonts w:cs="Calibri"/>
                <w:i/>
                <w:color w:val="0070C0"/>
                <w:sz w:val="22"/>
                <w:szCs w:val="22"/>
              </w:rPr>
              <w:t>Ebglyss</w:t>
            </w:r>
            <w:proofErr w:type="spellEnd"/>
            <w:r w:rsidR="00C83216" w:rsidRPr="00BE7D6D">
              <w:rPr>
                <w:rFonts w:cs="Calibri"/>
                <w:i/>
                <w:color w:val="0070C0"/>
                <w:sz w:val="22"/>
                <w:szCs w:val="22"/>
              </w:rPr>
              <w:t xml:space="preserve"> </w:t>
            </w:r>
            <w:r w:rsidRPr="00BE7D6D">
              <w:rPr>
                <w:rFonts w:cs="Calibri"/>
                <w:i/>
                <w:color w:val="0070C0"/>
                <w:sz w:val="22"/>
                <w:szCs w:val="22"/>
              </w:rPr>
              <w:t xml:space="preserve">is currently approved in the </w:t>
            </w:r>
            <w:hyperlink r:id="rId13" w:history="1">
              <w:r w:rsidRPr="00BE7D6D">
                <w:rPr>
                  <w:rStyle w:val="Hyperlink"/>
                  <w:rFonts w:cs="Calibri"/>
                  <w:i/>
                  <w:sz w:val="22"/>
                  <w:szCs w:val="22"/>
                  <w:lang w:val="en-IN"/>
                </w:rPr>
                <w:t>EU</w:t>
              </w:r>
            </w:hyperlink>
            <w:r w:rsidRPr="00BE7D6D">
              <w:rPr>
                <w:rFonts w:cs="Calibri"/>
                <w:i/>
                <w:color w:val="0070C0"/>
                <w:sz w:val="22"/>
                <w:szCs w:val="22"/>
              </w:rPr>
              <w:t xml:space="preserve"> (November 2023), </w:t>
            </w:r>
            <w:hyperlink r:id="rId14" w:history="1">
              <w:r w:rsidRPr="00BE7D6D">
                <w:rPr>
                  <w:rStyle w:val="Hyperlink"/>
                  <w:rFonts w:cs="Calibri"/>
                  <w:i/>
                  <w:sz w:val="22"/>
                  <w:szCs w:val="22"/>
                </w:rPr>
                <w:t>Japan</w:t>
              </w:r>
            </w:hyperlink>
            <w:r w:rsidR="00444021" w:rsidRPr="00BE7D6D">
              <w:rPr>
                <w:sz w:val="22"/>
                <w:szCs w:val="22"/>
              </w:rPr>
              <w:t xml:space="preserve">, </w:t>
            </w:r>
            <w:hyperlink r:id="rId15" w:history="1">
              <w:r w:rsidR="00444021" w:rsidRPr="00444021">
                <w:rPr>
                  <w:rStyle w:val="Hyperlink"/>
                  <w:i/>
                  <w:iCs/>
                  <w:sz w:val="22"/>
                  <w:szCs w:val="22"/>
                </w:rPr>
                <w:t>Canada</w:t>
              </w:r>
            </w:hyperlink>
            <w:r w:rsidRPr="00BE7D6D">
              <w:rPr>
                <w:rFonts w:cs="Calibri"/>
                <w:i/>
                <w:color w:val="0070C0"/>
                <w:sz w:val="22"/>
                <w:szCs w:val="22"/>
              </w:rPr>
              <w:t xml:space="preserve"> (January 2024), and the </w:t>
            </w:r>
            <w:hyperlink r:id="rId16" w:history="1">
              <w:r w:rsidRPr="00BE7D6D">
                <w:rPr>
                  <w:rStyle w:val="Hyperlink"/>
                  <w:rFonts w:cs="Calibri"/>
                  <w:i/>
                  <w:sz w:val="22"/>
                  <w:szCs w:val="22"/>
                  <w:lang w:val="en-IN"/>
                </w:rPr>
                <w:t>US</w:t>
              </w:r>
            </w:hyperlink>
            <w:r w:rsidRPr="00BE7D6D">
              <w:rPr>
                <w:rFonts w:cs="Calibri"/>
                <w:i/>
                <w:color w:val="0070C0"/>
                <w:sz w:val="22"/>
                <w:szCs w:val="22"/>
              </w:rPr>
              <w:t xml:space="preserve"> (September 2024) for moderate-to-severe AD for adults and children ≥12 yrs</w:t>
            </w:r>
          </w:p>
          <w:p w14:paraId="7E8BB85B" w14:textId="77777777" w:rsidR="00C24F66" w:rsidRPr="00EE4FC4" w:rsidRDefault="00C24F66" w:rsidP="00904965">
            <w:pPr>
              <w:pStyle w:val="ListParagraph"/>
              <w:rPr>
                <w:color w:val="171717" w:themeColor="background2" w:themeShade="1A"/>
              </w:rPr>
            </w:pPr>
          </w:p>
          <w:p w14:paraId="3794E578" w14:textId="43F62694" w:rsidR="002E6873" w:rsidRPr="002E6873" w:rsidRDefault="00B533F9" w:rsidP="002E6873">
            <w:pPr>
              <w:rPr>
                <w:b/>
                <w:bCs/>
                <w:color w:val="002060"/>
                <w:sz w:val="28"/>
                <w:szCs w:val="28"/>
              </w:rPr>
            </w:pPr>
            <w:r>
              <w:rPr>
                <w:b/>
                <w:bCs/>
                <w:color w:val="002060"/>
                <w:sz w:val="28"/>
                <w:szCs w:val="28"/>
              </w:rPr>
              <w:t xml:space="preserve">Why it matters </w:t>
            </w:r>
            <w:r w:rsidRPr="00B533F9">
              <w:rPr>
                <w:i/>
                <w:iCs/>
                <w:color w:val="0070C0"/>
              </w:rPr>
              <w:t>(CI Insights in blue italics)</w:t>
            </w:r>
            <w:r w:rsidR="002E6873" w:rsidRPr="002E6873">
              <w:rPr>
                <w:b/>
                <w:bCs/>
                <w:color w:val="002060"/>
                <w:sz w:val="28"/>
                <w:szCs w:val="28"/>
              </w:rPr>
              <w:t>:</w:t>
            </w:r>
          </w:p>
          <w:p w14:paraId="6633F57F" w14:textId="7346B06F" w:rsidR="002E6873" w:rsidRPr="00AE5FF1" w:rsidRDefault="00A35ED8" w:rsidP="000A635E">
            <w:pPr>
              <w:pStyle w:val="ListParagraph"/>
              <w:numPr>
                <w:ilvl w:val="0"/>
                <w:numId w:val="11"/>
              </w:numPr>
              <w:rPr>
                <w:i/>
                <w:iCs/>
                <w:color w:val="0070C0"/>
                <w:sz w:val="22"/>
                <w:szCs w:val="22"/>
              </w:rPr>
            </w:pPr>
            <w:r w:rsidRPr="00607D69">
              <w:rPr>
                <w:color w:val="000000" w:themeColor="text1"/>
                <w:sz w:val="22"/>
                <w:szCs w:val="22"/>
              </w:rPr>
              <w:t xml:space="preserve">Pediatric expansion would position </w:t>
            </w:r>
            <w:proofErr w:type="spellStart"/>
            <w:r w:rsidR="00C83216" w:rsidRPr="00607D69">
              <w:rPr>
                <w:color w:val="000000" w:themeColor="text1"/>
                <w:sz w:val="22"/>
                <w:szCs w:val="22"/>
              </w:rPr>
              <w:t>Ebglyss</w:t>
            </w:r>
            <w:proofErr w:type="spellEnd"/>
            <w:r w:rsidR="00C83216" w:rsidRPr="00607D69">
              <w:rPr>
                <w:color w:val="000000" w:themeColor="text1"/>
                <w:sz w:val="22"/>
                <w:szCs w:val="22"/>
              </w:rPr>
              <w:t xml:space="preserve"> </w:t>
            </w:r>
            <w:r w:rsidRPr="00607D69">
              <w:rPr>
                <w:color w:val="000000" w:themeColor="text1"/>
                <w:sz w:val="22"/>
                <w:szCs w:val="22"/>
              </w:rPr>
              <w:t xml:space="preserve">to </w:t>
            </w:r>
            <w:r w:rsidR="004D28FE" w:rsidRPr="00607D69">
              <w:rPr>
                <w:color w:val="000000" w:themeColor="text1"/>
                <w:sz w:val="22"/>
                <w:szCs w:val="22"/>
              </w:rPr>
              <w:t>in younger populations</w:t>
            </w:r>
            <w:r w:rsidRPr="00607D69">
              <w:rPr>
                <w:color w:val="000000" w:themeColor="text1"/>
                <w:sz w:val="22"/>
                <w:szCs w:val="22"/>
              </w:rPr>
              <w:t>,</w:t>
            </w:r>
            <w:r w:rsidRPr="00966ED0">
              <w:rPr>
                <w:color w:val="000000" w:themeColor="text1"/>
                <w:sz w:val="22"/>
                <w:szCs w:val="22"/>
              </w:rPr>
              <w:t xml:space="preserve"> where Dupixent currently has the most established presence across age groups</w:t>
            </w:r>
            <w:r w:rsidR="00DE6417">
              <w:rPr>
                <w:color w:val="000000" w:themeColor="text1"/>
                <w:sz w:val="22"/>
                <w:szCs w:val="22"/>
              </w:rPr>
              <w:t xml:space="preserve"> </w:t>
            </w:r>
            <w:r w:rsidR="00DE6417" w:rsidRPr="00AE5FF1">
              <w:rPr>
                <w:i/>
                <w:iCs/>
                <w:color w:val="0070C0"/>
                <w:sz w:val="22"/>
                <w:szCs w:val="22"/>
              </w:rPr>
              <w:t>(approved for</w:t>
            </w:r>
            <w:r w:rsidR="00584833">
              <w:rPr>
                <w:i/>
                <w:iCs/>
                <w:color w:val="0070C0"/>
                <w:sz w:val="22"/>
                <w:szCs w:val="22"/>
              </w:rPr>
              <w:t xml:space="preserve"> </w:t>
            </w:r>
            <w:r w:rsidR="00DE6417" w:rsidRPr="00AE5FF1">
              <w:rPr>
                <w:i/>
                <w:iCs/>
                <w:color w:val="0070C0"/>
                <w:sz w:val="22"/>
                <w:szCs w:val="22"/>
              </w:rPr>
              <w:t>6</w:t>
            </w:r>
            <w:r w:rsidR="002B3F0E">
              <w:rPr>
                <w:i/>
                <w:iCs/>
                <w:color w:val="0070C0"/>
                <w:sz w:val="22"/>
                <w:szCs w:val="22"/>
              </w:rPr>
              <w:t xml:space="preserve"> </w:t>
            </w:r>
            <w:r w:rsidR="00DE6417" w:rsidRPr="00AE5FF1">
              <w:rPr>
                <w:i/>
                <w:iCs/>
                <w:color w:val="0070C0"/>
                <w:sz w:val="22"/>
                <w:szCs w:val="22"/>
              </w:rPr>
              <w:t xml:space="preserve">months </w:t>
            </w:r>
            <w:r w:rsidR="00584833">
              <w:rPr>
                <w:i/>
                <w:iCs/>
                <w:color w:val="0070C0"/>
                <w:sz w:val="22"/>
                <w:szCs w:val="22"/>
              </w:rPr>
              <w:t xml:space="preserve">and older </w:t>
            </w:r>
            <w:r w:rsidR="00DE6417" w:rsidRPr="00AE5FF1">
              <w:rPr>
                <w:i/>
                <w:iCs/>
                <w:color w:val="0070C0"/>
                <w:sz w:val="22"/>
                <w:szCs w:val="22"/>
              </w:rPr>
              <w:t>AD patients</w:t>
            </w:r>
            <w:r w:rsidR="00012C79">
              <w:rPr>
                <w:i/>
                <w:iCs/>
                <w:color w:val="0070C0"/>
                <w:sz w:val="22"/>
                <w:szCs w:val="22"/>
              </w:rPr>
              <w:t xml:space="preserve"> in the </w:t>
            </w:r>
            <w:hyperlink r:id="rId17" w:history="1">
              <w:r w:rsidR="00012C79" w:rsidRPr="00754952">
                <w:rPr>
                  <w:rStyle w:val="Hyperlink"/>
                  <w:i/>
                  <w:iCs/>
                  <w:sz w:val="22"/>
                  <w:szCs w:val="22"/>
                </w:rPr>
                <w:t>US</w:t>
              </w:r>
            </w:hyperlink>
            <w:r w:rsidR="00012C79">
              <w:rPr>
                <w:i/>
                <w:iCs/>
                <w:color w:val="0070C0"/>
                <w:sz w:val="22"/>
                <w:szCs w:val="22"/>
              </w:rPr>
              <w:t xml:space="preserve"> and </w:t>
            </w:r>
            <w:hyperlink r:id="rId18" w:history="1">
              <w:r w:rsidR="00012C79" w:rsidRPr="004B4954">
                <w:rPr>
                  <w:rStyle w:val="Hyperlink"/>
                  <w:i/>
                  <w:iCs/>
                  <w:sz w:val="22"/>
                  <w:szCs w:val="22"/>
                </w:rPr>
                <w:t>EU</w:t>
              </w:r>
            </w:hyperlink>
            <w:r w:rsidR="00DE6417" w:rsidRPr="00AE5FF1">
              <w:rPr>
                <w:i/>
                <w:iCs/>
                <w:color w:val="0070C0"/>
                <w:sz w:val="22"/>
                <w:szCs w:val="22"/>
              </w:rPr>
              <w:t>)</w:t>
            </w:r>
            <w:r w:rsidRPr="00AE5FF1">
              <w:rPr>
                <w:i/>
                <w:iCs/>
                <w:color w:val="0070C0"/>
                <w:sz w:val="22"/>
                <w:szCs w:val="22"/>
              </w:rPr>
              <w:t xml:space="preserve"> </w:t>
            </w:r>
          </w:p>
          <w:p w14:paraId="074492A4" w14:textId="7790C16C" w:rsidR="00966ED0" w:rsidRDefault="00966ED0" w:rsidP="000A635E">
            <w:pPr>
              <w:pStyle w:val="ListParagraph"/>
              <w:numPr>
                <w:ilvl w:val="1"/>
                <w:numId w:val="11"/>
              </w:numPr>
              <w:rPr>
                <w:color w:val="000000" w:themeColor="text1"/>
                <w:sz w:val="22"/>
                <w:szCs w:val="22"/>
              </w:rPr>
            </w:pPr>
            <w:r w:rsidRPr="00966ED0">
              <w:rPr>
                <w:i/>
                <w:iCs/>
                <w:color w:val="000000" w:themeColor="text1"/>
                <w:sz w:val="22"/>
                <w:szCs w:val="22"/>
              </w:rPr>
              <w:t xml:space="preserve">"Despite the high prevalence of moderate-to-severe </w:t>
            </w:r>
            <w:r w:rsidR="00246240">
              <w:rPr>
                <w:i/>
                <w:iCs/>
                <w:color w:val="000000" w:themeColor="text1"/>
                <w:sz w:val="22"/>
                <w:szCs w:val="22"/>
              </w:rPr>
              <w:t xml:space="preserve">AD </w:t>
            </w:r>
            <w:r w:rsidRPr="00966ED0">
              <w:rPr>
                <w:i/>
                <w:iCs/>
                <w:color w:val="000000" w:themeColor="text1"/>
                <w:sz w:val="22"/>
                <w:szCs w:val="22"/>
              </w:rPr>
              <w:t>in infants and young children, they have fewer approved treatment options than adults and adolescents,"</w:t>
            </w:r>
            <w:r w:rsidRPr="00966ED0">
              <w:rPr>
                <w:color w:val="000000" w:themeColor="text1"/>
                <w:sz w:val="22"/>
                <w:szCs w:val="22"/>
              </w:rPr>
              <w:t xml:space="preserve"> said Amy Paller, M.D., chair, department of dermatology at Northwestern University and </w:t>
            </w:r>
            <w:proofErr w:type="spellStart"/>
            <w:r w:rsidRPr="00966ED0">
              <w:rPr>
                <w:color w:val="000000" w:themeColor="text1"/>
                <w:sz w:val="22"/>
                <w:szCs w:val="22"/>
              </w:rPr>
              <w:t>ADorable</w:t>
            </w:r>
            <w:proofErr w:type="spellEnd"/>
            <w:r w:rsidRPr="00966ED0">
              <w:rPr>
                <w:color w:val="000000" w:themeColor="text1"/>
                <w:sz w:val="22"/>
                <w:szCs w:val="22"/>
              </w:rPr>
              <w:t xml:space="preserve"> study investigator</w:t>
            </w:r>
          </w:p>
          <w:p w14:paraId="2622B195" w14:textId="315C10E7" w:rsidR="00753D7D" w:rsidRPr="00966ED0" w:rsidRDefault="005C20C2" w:rsidP="000A635E">
            <w:pPr>
              <w:pStyle w:val="ListParagraph"/>
              <w:numPr>
                <w:ilvl w:val="0"/>
                <w:numId w:val="11"/>
              </w:numPr>
              <w:rPr>
                <w:color w:val="000000" w:themeColor="text1"/>
                <w:sz w:val="22"/>
                <w:szCs w:val="22"/>
              </w:rPr>
            </w:pPr>
            <w:r>
              <w:rPr>
                <w:color w:val="000000" w:themeColor="text1"/>
                <w:sz w:val="22"/>
                <w:szCs w:val="22"/>
              </w:rPr>
              <w:t>The data</w:t>
            </w:r>
            <w:r w:rsidR="00753D7D" w:rsidRPr="00966ED0">
              <w:rPr>
                <w:color w:val="000000" w:themeColor="text1"/>
                <w:sz w:val="22"/>
                <w:szCs w:val="22"/>
              </w:rPr>
              <w:t xml:space="preserve"> further </w:t>
            </w:r>
            <w:r w:rsidR="0096261D" w:rsidRPr="00966ED0">
              <w:rPr>
                <w:color w:val="000000" w:themeColor="text1"/>
                <w:sz w:val="22"/>
                <w:szCs w:val="22"/>
              </w:rPr>
              <w:t>reinforces</w:t>
            </w:r>
            <w:r w:rsidR="00753D7D" w:rsidRPr="00966ED0">
              <w:rPr>
                <w:color w:val="000000" w:themeColor="text1"/>
                <w:sz w:val="22"/>
                <w:szCs w:val="22"/>
              </w:rPr>
              <w:t xml:space="preserve"> </w:t>
            </w:r>
            <w:r w:rsidR="00224962">
              <w:rPr>
                <w:color w:val="000000" w:themeColor="text1"/>
                <w:sz w:val="22"/>
                <w:szCs w:val="22"/>
              </w:rPr>
              <w:t>IL</w:t>
            </w:r>
            <w:r w:rsidR="00753D7D" w:rsidRPr="00966ED0">
              <w:rPr>
                <w:color w:val="000000" w:themeColor="text1"/>
                <w:sz w:val="22"/>
                <w:szCs w:val="22"/>
              </w:rPr>
              <w:t xml:space="preserve">-13 inhibition as a validated mechanism in AD, supporting </w:t>
            </w:r>
            <w:r w:rsidR="00224962">
              <w:rPr>
                <w:color w:val="000000" w:themeColor="text1"/>
                <w:sz w:val="22"/>
                <w:szCs w:val="22"/>
              </w:rPr>
              <w:t>ongoing</w:t>
            </w:r>
            <w:r w:rsidR="00753D7D" w:rsidRPr="00966ED0">
              <w:rPr>
                <w:color w:val="000000" w:themeColor="text1"/>
                <w:sz w:val="22"/>
                <w:szCs w:val="22"/>
              </w:rPr>
              <w:t xml:space="preserve"> competition within the IL-4/IL-13 pathway-targeting biologics class </w:t>
            </w:r>
          </w:p>
          <w:p w14:paraId="3F1730A0" w14:textId="77777777" w:rsidR="00AF5050" w:rsidRPr="00966ED0" w:rsidRDefault="00AF5050" w:rsidP="00AF5050">
            <w:pPr>
              <w:pStyle w:val="ListParagraph"/>
              <w:rPr>
                <w:color w:val="000000" w:themeColor="text1"/>
                <w:sz w:val="22"/>
                <w:szCs w:val="22"/>
              </w:rPr>
            </w:pPr>
          </w:p>
          <w:p w14:paraId="6CA81F79" w14:textId="6CDB3F46" w:rsidR="002E6873" w:rsidRPr="002E6873" w:rsidRDefault="00B533F9" w:rsidP="002E6873">
            <w:pPr>
              <w:rPr>
                <w:b/>
                <w:bCs/>
                <w:color w:val="002060"/>
                <w:sz w:val="28"/>
                <w:szCs w:val="28"/>
              </w:rPr>
            </w:pPr>
            <w:r>
              <w:rPr>
                <w:b/>
                <w:bCs/>
                <w:color w:val="002060"/>
                <w:sz w:val="28"/>
                <w:szCs w:val="28"/>
              </w:rPr>
              <w:t>Tell me more</w:t>
            </w:r>
            <w:r w:rsidR="002E6873" w:rsidRPr="002E6873">
              <w:rPr>
                <w:b/>
                <w:bCs/>
                <w:color w:val="002060"/>
                <w:sz w:val="28"/>
                <w:szCs w:val="28"/>
              </w:rPr>
              <w:t>:</w:t>
            </w:r>
          </w:p>
          <w:p w14:paraId="21636979" w14:textId="42C54B36" w:rsidR="002E6873" w:rsidRPr="002964D0" w:rsidRDefault="00A752E4" w:rsidP="000A635E">
            <w:pPr>
              <w:pStyle w:val="ListParagraph"/>
              <w:numPr>
                <w:ilvl w:val="0"/>
                <w:numId w:val="11"/>
              </w:numPr>
              <w:spacing w:after="160" w:line="278" w:lineRule="auto"/>
              <w:rPr>
                <w:b/>
                <w:bCs/>
                <w:color w:val="171717" w:themeColor="background2" w:themeShade="1A"/>
                <w:sz w:val="22"/>
                <w:szCs w:val="22"/>
              </w:rPr>
            </w:pPr>
            <w:r w:rsidRPr="00A752E4">
              <w:rPr>
                <w:b/>
                <w:bCs/>
                <w:color w:val="171717" w:themeColor="background2" w:themeShade="1A"/>
                <w:sz w:val="22"/>
                <w:szCs w:val="22"/>
              </w:rPr>
              <w:t>Study design</w:t>
            </w:r>
            <w:r>
              <w:rPr>
                <w:b/>
                <w:bCs/>
                <w:color w:val="171717" w:themeColor="background2" w:themeShade="1A"/>
                <w:sz w:val="22"/>
                <w:szCs w:val="22"/>
              </w:rPr>
              <w:t xml:space="preserve">: </w:t>
            </w:r>
            <w:r w:rsidR="00CD7D78">
              <w:rPr>
                <w:color w:val="171717" w:themeColor="background2" w:themeShade="1A"/>
                <w:sz w:val="22"/>
                <w:szCs w:val="22"/>
              </w:rPr>
              <w:t>R</w:t>
            </w:r>
            <w:r>
              <w:rPr>
                <w:color w:val="171717" w:themeColor="background2" w:themeShade="1A"/>
                <w:sz w:val="22"/>
                <w:szCs w:val="22"/>
              </w:rPr>
              <w:t>andomized, double-blind, placebo-controlled</w:t>
            </w:r>
            <w:r w:rsidR="005C110D">
              <w:rPr>
                <w:color w:val="171717" w:themeColor="background2" w:themeShade="1A"/>
                <w:sz w:val="22"/>
                <w:szCs w:val="22"/>
              </w:rPr>
              <w:t xml:space="preserve"> </w:t>
            </w:r>
            <w:hyperlink r:id="rId19" w:history="1">
              <w:r w:rsidR="005C110D" w:rsidRPr="005C110D">
                <w:rPr>
                  <w:rStyle w:val="Hyperlink"/>
                  <w:sz w:val="22"/>
                  <w:szCs w:val="22"/>
                </w:rPr>
                <w:t>A</w:t>
              </w:r>
              <w:r w:rsidR="00125070">
                <w:rPr>
                  <w:rStyle w:val="Hyperlink"/>
                  <w:sz w:val="22"/>
                  <w:szCs w:val="22"/>
                </w:rPr>
                <w:t>D</w:t>
              </w:r>
              <w:r w:rsidR="005C110D" w:rsidRPr="005C110D">
                <w:rPr>
                  <w:rStyle w:val="Hyperlink"/>
                  <w:sz w:val="22"/>
                  <w:szCs w:val="22"/>
                </w:rPr>
                <w:t>orable-1</w:t>
              </w:r>
            </w:hyperlink>
            <w:r>
              <w:rPr>
                <w:color w:val="171717" w:themeColor="background2" w:themeShade="1A"/>
                <w:sz w:val="22"/>
                <w:szCs w:val="22"/>
              </w:rPr>
              <w:t xml:space="preserve"> Phase 3 trial  evaluating </w:t>
            </w:r>
            <w:proofErr w:type="spellStart"/>
            <w:r w:rsidR="00C83216">
              <w:rPr>
                <w:color w:val="171717" w:themeColor="background2" w:themeShade="1A"/>
                <w:sz w:val="22"/>
                <w:szCs w:val="22"/>
              </w:rPr>
              <w:t>Ebglyss</w:t>
            </w:r>
            <w:proofErr w:type="spellEnd"/>
            <w:r w:rsidR="00C83216">
              <w:rPr>
                <w:color w:val="171717" w:themeColor="background2" w:themeShade="1A"/>
                <w:sz w:val="22"/>
                <w:szCs w:val="22"/>
              </w:rPr>
              <w:t xml:space="preserve"> </w:t>
            </w:r>
            <w:r>
              <w:rPr>
                <w:color w:val="171717" w:themeColor="background2" w:themeShade="1A"/>
                <w:sz w:val="22"/>
                <w:szCs w:val="22"/>
              </w:rPr>
              <w:t>in pediatric patients (6 months-18 years) with moderate-to-severe AD</w:t>
            </w:r>
          </w:p>
          <w:p w14:paraId="1E90E31F" w14:textId="7845D288" w:rsidR="002964D0" w:rsidRDefault="00B579B9" w:rsidP="000A635E">
            <w:pPr>
              <w:pStyle w:val="ListParagraph"/>
              <w:numPr>
                <w:ilvl w:val="1"/>
                <w:numId w:val="11"/>
              </w:numPr>
              <w:rPr>
                <w:color w:val="171717" w:themeColor="background2" w:themeShade="1A"/>
                <w:sz w:val="22"/>
                <w:szCs w:val="22"/>
                <w:lang w:val="en-GB"/>
              </w:rPr>
            </w:pPr>
            <w:r w:rsidRPr="00B579B9">
              <w:rPr>
                <w:color w:val="171717" w:themeColor="background2" w:themeShade="1A"/>
                <w:sz w:val="22"/>
                <w:szCs w:val="22"/>
              </w:rPr>
              <w:t xml:space="preserve">Topical corticosteroids (TCS) were required beginning 2 weeks </w:t>
            </w:r>
            <w:r w:rsidRPr="00B579B9">
              <w:rPr>
                <w:color w:val="171717" w:themeColor="background2" w:themeShade="1A"/>
                <w:sz w:val="22"/>
                <w:szCs w:val="22"/>
                <w:lang w:val="en-GB"/>
              </w:rPr>
              <w:t>before randomization and throughout the 16-week study, with the option to decrease/stop after achieving IGA ≤2</w:t>
            </w:r>
          </w:p>
          <w:p w14:paraId="148BE5BA" w14:textId="1A13E830" w:rsidR="00B579B9" w:rsidRPr="00B579B9" w:rsidRDefault="00B579B9" w:rsidP="000A635E">
            <w:pPr>
              <w:pStyle w:val="ListParagraph"/>
              <w:numPr>
                <w:ilvl w:val="0"/>
                <w:numId w:val="11"/>
              </w:numPr>
              <w:rPr>
                <w:b/>
                <w:bCs/>
                <w:color w:val="171717" w:themeColor="background2" w:themeShade="1A"/>
                <w:sz w:val="22"/>
                <w:szCs w:val="22"/>
                <w:lang w:val="en-GB"/>
              </w:rPr>
            </w:pPr>
            <w:r w:rsidRPr="00B579B9">
              <w:rPr>
                <w:b/>
                <w:bCs/>
                <w:color w:val="171717" w:themeColor="background2" w:themeShade="1A"/>
                <w:sz w:val="22"/>
                <w:szCs w:val="22"/>
                <w:lang w:val="en-GB"/>
              </w:rPr>
              <w:t>Dosing:</w:t>
            </w:r>
            <w:r>
              <w:rPr>
                <w:b/>
                <w:bCs/>
                <w:color w:val="171717" w:themeColor="background2" w:themeShade="1A"/>
                <w:sz w:val="22"/>
                <w:szCs w:val="22"/>
                <w:lang w:val="en-GB"/>
              </w:rPr>
              <w:t xml:space="preserve"> </w:t>
            </w:r>
            <w:r w:rsidR="005F0DB0">
              <w:rPr>
                <w:color w:val="171717" w:themeColor="background2" w:themeShade="1A"/>
                <w:sz w:val="22"/>
                <w:szCs w:val="22"/>
                <w:lang w:val="en-GB"/>
              </w:rPr>
              <w:t xml:space="preserve">Participants were randomized to placebo or weight-based </w:t>
            </w:r>
            <w:proofErr w:type="spellStart"/>
            <w:r w:rsidR="00C83216">
              <w:rPr>
                <w:color w:val="171717" w:themeColor="background2" w:themeShade="1A"/>
                <w:sz w:val="22"/>
                <w:szCs w:val="22"/>
                <w:lang w:val="en-GB"/>
              </w:rPr>
              <w:t>Ebglyss</w:t>
            </w:r>
            <w:proofErr w:type="spellEnd"/>
            <w:r w:rsidR="00C83216">
              <w:rPr>
                <w:color w:val="171717" w:themeColor="background2" w:themeShade="1A"/>
                <w:sz w:val="22"/>
                <w:szCs w:val="22"/>
                <w:lang w:val="en-GB"/>
              </w:rPr>
              <w:t xml:space="preserve"> </w:t>
            </w:r>
            <w:r w:rsidR="005F0DB0">
              <w:rPr>
                <w:color w:val="171717" w:themeColor="background2" w:themeShade="1A"/>
                <w:sz w:val="22"/>
                <w:szCs w:val="22"/>
                <w:lang w:val="en-GB"/>
              </w:rPr>
              <w:t>dosing</w:t>
            </w:r>
            <w:r w:rsidR="008F24C8">
              <w:rPr>
                <w:color w:val="171717" w:themeColor="background2" w:themeShade="1A"/>
                <w:sz w:val="22"/>
                <w:szCs w:val="22"/>
                <w:lang w:val="en-GB"/>
              </w:rPr>
              <w:t>,</w:t>
            </w:r>
            <w:r w:rsidR="00036E53">
              <w:rPr>
                <w:color w:val="171717" w:themeColor="background2" w:themeShade="1A"/>
                <w:sz w:val="22"/>
                <w:szCs w:val="22"/>
                <w:lang w:val="en-GB"/>
              </w:rPr>
              <w:t xml:space="preserve"> administered </w:t>
            </w:r>
            <w:r w:rsidR="008E7CAC">
              <w:rPr>
                <w:color w:val="171717" w:themeColor="background2" w:themeShade="1A"/>
                <w:sz w:val="22"/>
                <w:szCs w:val="22"/>
                <w:lang w:val="en-GB"/>
              </w:rPr>
              <w:t xml:space="preserve">as </w:t>
            </w:r>
            <w:r w:rsidR="009F2DE9" w:rsidRPr="009F2DE9">
              <w:rPr>
                <w:color w:val="171717" w:themeColor="background2" w:themeShade="1A"/>
                <w:sz w:val="22"/>
                <w:szCs w:val="22"/>
                <w:lang w:val="en-GB"/>
              </w:rPr>
              <w:t>a loading dose and then subsequent doses by subcutaneous injections with a topical</w:t>
            </w:r>
            <w:r w:rsidR="009F2DE9">
              <w:rPr>
                <w:color w:val="171717" w:themeColor="background2" w:themeShade="1A"/>
                <w:sz w:val="22"/>
                <w:szCs w:val="22"/>
                <w:lang w:val="en-GB"/>
              </w:rPr>
              <w:t xml:space="preserve"> </w:t>
            </w:r>
            <w:r w:rsidR="009F2DE9" w:rsidRPr="009F2DE9">
              <w:rPr>
                <w:color w:val="171717" w:themeColor="background2" w:themeShade="1A"/>
                <w:sz w:val="22"/>
                <w:szCs w:val="22"/>
                <w:lang w:val="en-GB"/>
              </w:rPr>
              <w:t>TCS</w:t>
            </w:r>
            <w:r w:rsidR="009F2DE9" w:rsidRPr="009F2DE9" w:rsidDel="009F2DE9">
              <w:rPr>
                <w:color w:val="171717" w:themeColor="background2" w:themeShade="1A"/>
                <w:sz w:val="22"/>
                <w:szCs w:val="22"/>
                <w:lang w:val="en-GB"/>
              </w:rPr>
              <w:t xml:space="preserve"> </w:t>
            </w:r>
            <w:r w:rsidR="0080609F" w:rsidRPr="001B2379">
              <w:rPr>
                <w:i/>
                <w:iCs/>
                <w:color w:val="0070C0"/>
                <w:sz w:val="22"/>
                <w:szCs w:val="22"/>
                <w:lang w:val="en-GB"/>
              </w:rPr>
              <w:t>(</w:t>
            </w:r>
            <w:r w:rsidR="009C2480" w:rsidRPr="001B2379">
              <w:rPr>
                <w:i/>
                <w:iCs/>
                <w:color w:val="0070C0"/>
                <w:sz w:val="22"/>
                <w:szCs w:val="22"/>
                <w:lang w:val="en-GB"/>
              </w:rPr>
              <w:t>dose not disclosed)</w:t>
            </w:r>
          </w:p>
          <w:p w14:paraId="6D3B98A9" w14:textId="6492972D" w:rsidR="00C31153" w:rsidRDefault="00EB4754" w:rsidP="000A635E">
            <w:pPr>
              <w:pStyle w:val="ListParagraph"/>
              <w:numPr>
                <w:ilvl w:val="0"/>
                <w:numId w:val="11"/>
              </w:numPr>
              <w:spacing w:after="160" w:line="278" w:lineRule="auto"/>
              <w:rPr>
                <w:b/>
                <w:bCs/>
                <w:color w:val="171717" w:themeColor="background2" w:themeShade="1A"/>
                <w:sz w:val="22"/>
                <w:szCs w:val="22"/>
                <w:lang w:val="en-GB"/>
              </w:rPr>
            </w:pPr>
            <w:r>
              <w:rPr>
                <w:b/>
                <w:bCs/>
                <w:color w:val="171717" w:themeColor="background2" w:themeShade="1A"/>
                <w:sz w:val="22"/>
                <w:szCs w:val="22"/>
                <w:lang w:val="en-GB"/>
              </w:rPr>
              <w:t>Effica</w:t>
            </w:r>
            <w:r w:rsidR="00D21BF4">
              <w:rPr>
                <w:b/>
                <w:bCs/>
                <w:color w:val="171717" w:themeColor="background2" w:themeShade="1A"/>
                <w:sz w:val="22"/>
                <w:szCs w:val="22"/>
                <w:lang w:val="en-GB"/>
              </w:rPr>
              <w:t>c</w:t>
            </w:r>
            <w:r>
              <w:rPr>
                <w:b/>
                <w:bCs/>
                <w:color w:val="171717" w:themeColor="background2" w:themeShade="1A"/>
                <w:sz w:val="22"/>
                <w:szCs w:val="22"/>
                <w:lang w:val="en-GB"/>
              </w:rPr>
              <w:t>y</w:t>
            </w:r>
            <w:r w:rsidR="00595DE8">
              <w:rPr>
                <w:b/>
                <w:bCs/>
                <w:color w:val="171717" w:themeColor="background2" w:themeShade="1A"/>
                <w:sz w:val="22"/>
                <w:szCs w:val="22"/>
                <w:lang w:val="en-GB"/>
              </w:rPr>
              <w:t xml:space="preserve"> outcomes</w:t>
            </w:r>
            <w:r w:rsidR="00181E16">
              <w:rPr>
                <w:b/>
                <w:bCs/>
                <w:color w:val="171717" w:themeColor="background2" w:themeShade="1A"/>
                <w:sz w:val="22"/>
                <w:szCs w:val="22"/>
                <w:lang w:val="en-GB"/>
              </w:rPr>
              <w:t xml:space="preserve">: </w:t>
            </w:r>
            <w:proofErr w:type="spellStart"/>
            <w:r w:rsidR="00C83216" w:rsidRPr="00701442">
              <w:rPr>
                <w:color w:val="171717" w:themeColor="background2" w:themeShade="1A"/>
                <w:sz w:val="22"/>
                <w:szCs w:val="22"/>
                <w:lang w:val="en-GB"/>
              </w:rPr>
              <w:t>Ebglyss</w:t>
            </w:r>
            <w:proofErr w:type="spellEnd"/>
            <w:r w:rsidR="00C83216" w:rsidRPr="00701442">
              <w:rPr>
                <w:color w:val="171717" w:themeColor="background2" w:themeShade="1A"/>
                <w:sz w:val="22"/>
                <w:szCs w:val="22"/>
                <w:lang w:val="en-GB"/>
              </w:rPr>
              <w:t xml:space="preserve"> </w:t>
            </w:r>
            <w:r w:rsidR="00701442">
              <w:rPr>
                <w:color w:val="171717" w:themeColor="background2" w:themeShade="1A"/>
                <w:sz w:val="22"/>
                <w:szCs w:val="22"/>
                <w:lang w:val="en-GB"/>
              </w:rPr>
              <w:t>s</w:t>
            </w:r>
            <w:r w:rsidR="000E746F">
              <w:rPr>
                <w:color w:val="171717" w:themeColor="background2" w:themeShade="1A"/>
                <w:sz w:val="22"/>
                <w:szCs w:val="22"/>
                <w:lang w:val="en-GB"/>
              </w:rPr>
              <w:t>howed</w:t>
            </w:r>
            <w:r w:rsidR="00701442" w:rsidRPr="00701442">
              <w:rPr>
                <w:color w:val="171717" w:themeColor="background2" w:themeShade="1A"/>
                <w:sz w:val="22"/>
                <w:szCs w:val="22"/>
                <w:lang w:val="en-GB"/>
              </w:rPr>
              <w:t xml:space="preserve"> improvements in disease severity and itch vs placebo across primary and key secondary endpoints at Week 16</w:t>
            </w:r>
            <w:r w:rsidR="00304E42">
              <w:rPr>
                <w:color w:val="171717" w:themeColor="background2" w:themeShade="1A"/>
                <w:sz w:val="22"/>
                <w:szCs w:val="22"/>
                <w:lang w:val="en-GB"/>
              </w:rPr>
              <w:t>:</w:t>
            </w:r>
          </w:p>
          <w:p w14:paraId="76D297B4" w14:textId="48393B5C" w:rsidR="00C31153" w:rsidRDefault="00417CE2" w:rsidP="00246240">
            <w:pPr>
              <w:pStyle w:val="ListParagraph"/>
              <w:spacing w:after="160" w:line="278" w:lineRule="auto"/>
              <w:ind w:left="1440"/>
              <w:rPr>
                <w:b/>
                <w:bCs/>
                <w:color w:val="171717" w:themeColor="background2" w:themeShade="1A"/>
                <w:sz w:val="22"/>
                <w:szCs w:val="22"/>
              </w:rPr>
            </w:pPr>
            <w:r w:rsidRPr="00417CE2">
              <w:rPr>
                <w:b/>
                <w:bCs/>
                <w:noProof/>
                <w:color w:val="171717" w:themeColor="background2" w:themeShade="1A"/>
                <w:sz w:val="22"/>
                <w:szCs w:val="22"/>
              </w:rPr>
              <w:drawing>
                <wp:inline distT="0" distB="0" distL="0" distR="0" wp14:anchorId="56A722D2" wp14:editId="6048CD4A">
                  <wp:extent cx="4448635" cy="1469985"/>
                  <wp:effectExtent l="0" t="0" r="0" b="0"/>
                  <wp:docPr id="129621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19090" name=""/>
                          <pic:cNvPicPr/>
                        </pic:nvPicPr>
                        <pic:blipFill>
                          <a:blip r:embed="rId20"/>
                          <a:stretch>
                            <a:fillRect/>
                          </a:stretch>
                        </pic:blipFill>
                        <pic:spPr>
                          <a:xfrm>
                            <a:off x="0" y="0"/>
                            <a:ext cx="4482604" cy="1481210"/>
                          </a:xfrm>
                          <a:prstGeom prst="rect">
                            <a:avLst/>
                          </a:prstGeom>
                        </pic:spPr>
                      </pic:pic>
                    </a:graphicData>
                  </a:graphic>
                </wp:inline>
              </w:drawing>
            </w:r>
          </w:p>
          <w:p w14:paraId="493D0E3D" w14:textId="6C7A8DDB" w:rsidR="00F3548C" w:rsidRPr="00D0327A" w:rsidRDefault="00F3548C" w:rsidP="000A635E">
            <w:pPr>
              <w:pStyle w:val="ListParagraph"/>
              <w:numPr>
                <w:ilvl w:val="0"/>
                <w:numId w:val="11"/>
              </w:numPr>
              <w:spacing w:after="160" w:line="278" w:lineRule="auto"/>
              <w:rPr>
                <w:b/>
                <w:bCs/>
                <w:color w:val="171717" w:themeColor="background2" w:themeShade="1A"/>
                <w:sz w:val="22"/>
                <w:szCs w:val="22"/>
              </w:rPr>
            </w:pPr>
            <w:r>
              <w:rPr>
                <w:b/>
                <w:bCs/>
                <w:color w:val="171717" w:themeColor="background2" w:themeShade="1A"/>
                <w:sz w:val="22"/>
                <w:szCs w:val="22"/>
              </w:rPr>
              <w:t xml:space="preserve">Safety: </w:t>
            </w:r>
            <w:r w:rsidR="0025590B">
              <w:rPr>
                <w:color w:val="171717" w:themeColor="background2" w:themeShade="1A"/>
                <w:sz w:val="22"/>
                <w:szCs w:val="22"/>
              </w:rPr>
              <w:t xml:space="preserve">Safety </w:t>
            </w:r>
            <w:r w:rsidR="00A97A4B">
              <w:rPr>
                <w:color w:val="171717" w:themeColor="background2" w:themeShade="1A"/>
                <w:sz w:val="22"/>
                <w:szCs w:val="22"/>
              </w:rPr>
              <w:t xml:space="preserve">and tolerability </w:t>
            </w:r>
            <w:r w:rsidR="00383A43">
              <w:rPr>
                <w:color w:val="171717" w:themeColor="background2" w:themeShade="1A"/>
                <w:sz w:val="22"/>
                <w:szCs w:val="22"/>
              </w:rPr>
              <w:t xml:space="preserve">profile consistent with </w:t>
            </w:r>
            <w:r w:rsidR="00304E42">
              <w:rPr>
                <w:color w:val="171717" w:themeColor="background2" w:themeShade="1A"/>
                <w:sz w:val="22"/>
                <w:szCs w:val="22"/>
              </w:rPr>
              <w:t xml:space="preserve">previous </w:t>
            </w:r>
            <w:r w:rsidR="00564C21">
              <w:rPr>
                <w:color w:val="171717" w:themeColor="background2" w:themeShade="1A"/>
                <w:sz w:val="22"/>
                <w:szCs w:val="22"/>
              </w:rPr>
              <w:t>adult</w:t>
            </w:r>
            <w:r w:rsidR="00A97A4B">
              <w:rPr>
                <w:color w:val="171717" w:themeColor="background2" w:themeShade="1A"/>
                <w:sz w:val="22"/>
                <w:szCs w:val="22"/>
              </w:rPr>
              <w:t xml:space="preserve"> and adolescent</w:t>
            </w:r>
            <w:r w:rsidR="00383A43">
              <w:rPr>
                <w:color w:val="171717" w:themeColor="background2" w:themeShade="1A"/>
                <w:sz w:val="22"/>
                <w:szCs w:val="22"/>
              </w:rPr>
              <w:t xml:space="preserve"> studies</w:t>
            </w:r>
          </w:p>
          <w:p w14:paraId="47EE8019" w14:textId="55F545C8" w:rsidR="00D950A9" w:rsidRDefault="00D0327A" w:rsidP="000A635E">
            <w:pPr>
              <w:pStyle w:val="ListParagraph"/>
              <w:numPr>
                <w:ilvl w:val="1"/>
                <w:numId w:val="11"/>
              </w:numPr>
              <w:spacing w:line="278" w:lineRule="auto"/>
              <w:rPr>
                <w:color w:val="171717" w:themeColor="background2" w:themeShade="1A"/>
                <w:sz w:val="22"/>
                <w:szCs w:val="22"/>
              </w:rPr>
            </w:pPr>
            <w:r w:rsidRPr="00BB45EE">
              <w:rPr>
                <w:color w:val="171717" w:themeColor="background2" w:themeShade="1A"/>
                <w:sz w:val="22"/>
                <w:szCs w:val="22"/>
              </w:rPr>
              <w:t xml:space="preserve">Most </w:t>
            </w:r>
            <w:r w:rsidR="00E86407">
              <w:rPr>
                <w:color w:val="171717" w:themeColor="background2" w:themeShade="1A"/>
                <w:sz w:val="22"/>
                <w:szCs w:val="22"/>
              </w:rPr>
              <w:t>common</w:t>
            </w:r>
            <w:r w:rsidRPr="00BB45EE">
              <w:rPr>
                <w:color w:val="171717" w:themeColor="background2" w:themeShade="1A"/>
                <w:sz w:val="22"/>
                <w:szCs w:val="22"/>
              </w:rPr>
              <w:t xml:space="preserve"> </w:t>
            </w:r>
            <w:r w:rsidR="00246240">
              <w:rPr>
                <w:color w:val="171717" w:themeColor="background2" w:themeShade="1A"/>
                <w:sz w:val="22"/>
                <w:szCs w:val="22"/>
              </w:rPr>
              <w:t>AEs</w:t>
            </w:r>
            <w:r w:rsidR="00E86407">
              <w:rPr>
                <w:color w:val="171717" w:themeColor="background2" w:themeShade="1A"/>
                <w:sz w:val="22"/>
                <w:szCs w:val="22"/>
              </w:rPr>
              <w:t xml:space="preserve"> </w:t>
            </w:r>
            <w:r w:rsidR="00E86407" w:rsidRPr="00E86407">
              <w:rPr>
                <w:color w:val="171717" w:themeColor="background2" w:themeShade="1A"/>
                <w:sz w:val="22"/>
                <w:szCs w:val="22"/>
                <w:lang w:val="en-GB"/>
              </w:rPr>
              <w:t>(≥5%)</w:t>
            </w:r>
            <w:r w:rsidR="00E86407">
              <w:rPr>
                <w:color w:val="171717" w:themeColor="background2" w:themeShade="1A"/>
                <w:sz w:val="22"/>
                <w:szCs w:val="22"/>
                <w:lang w:val="en-GB"/>
              </w:rPr>
              <w:t xml:space="preserve"> were</w:t>
            </w:r>
            <w:r w:rsidR="00BB45EE" w:rsidRPr="00BB45EE">
              <w:rPr>
                <w:color w:val="171717" w:themeColor="background2" w:themeShade="1A"/>
                <w:sz w:val="22"/>
                <w:szCs w:val="22"/>
              </w:rPr>
              <w:t xml:space="preserve"> upper respiratory tract infections and nasopharyngitis, with </w:t>
            </w:r>
            <w:r w:rsidR="002B21A2">
              <w:rPr>
                <w:color w:val="171717" w:themeColor="background2" w:themeShade="1A"/>
                <w:sz w:val="22"/>
                <w:szCs w:val="22"/>
              </w:rPr>
              <w:t>similar frequencies across treatment groups</w:t>
            </w:r>
          </w:p>
          <w:p w14:paraId="0738DA2E" w14:textId="3D4EB2A3" w:rsidR="00D0327A" w:rsidRDefault="00D950A9" w:rsidP="000A635E">
            <w:pPr>
              <w:pStyle w:val="ListParagraph"/>
              <w:numPr>
                <w:ilvl w:val="1"/>
                <w:numId w:val="11"/>
              </w:numPr>
              <w:spacing w:line="278" w:lineRule="auto"/>
              <w:rPr>
                <w:color w:val="171717" w:themeColor="background2" w:themeShade="1A"/>
                <w:sz w:val="22"/>
                <w:szCs w:val="22"/>
              </w:rPr>
            </w:pPr>
            <w:r>
              <w:rPr>
                <w:color w:val="171717" w:themeColor="background2" w:themeShade="1A"/>
                <w:sz w:val="22"/>
                <w:szCs w:val="22"/>
              </w:rPr>
              <w:t>I</w:t>
            </w:r>
            <w:r w:rsidR="00BB45EE" w:rsidRPr="00BB45EE">
              <w:rPr>
                <w:color w:val="171717" w:themeColor="background2" w:themeShade="1A"/>
                <w:sz w:val="22"/>
                <w:szCs w:val="22"/>
              </w:rPr>
              <w:t xml:space="preserve">njection-site reactions occurred at </w:t>
            </w:r>
            <w:r>
              <w:rPr>
                <w:color w:val="171717" w:themeColor="background2" w:themeShade="1A"/>
                <w:sz w:val="22"/>
                <w:szCs w:val="22"/>
              </w:rPr>
              <w:t xml:space="preserve">comparable rates in </w:t>
            </w:r>
            <w:r w:rsidR="00BB45EE" w:rsidRPr="00BB45EE">
              <w:rPr>
                <w:color w:val="171717" w:themeColor="background2" w:themeShade="1A"/>
                <w:sz w:val="22"/>
                <w:szCs w:val="22"/>
              </w:rPr>
              <w:t xml:space="preserve">both arms, </w:t>
            </w:r>
            <w:r w:rsidR="00073BD2">
              <w:rPr>
                <w:color w:val="171717" w:themeColor="background2" w:themeShade="1A"/>
                <w:sz w:val="22"/>
                <w:szCs w:val="22"/>
              </w:rPr>
              <w:t>with</w:t>
            </w:r>
            <w:r w:rsidR="00073BD2" w:rsidRPr="00BB45EE">
              <w:rPr>
                <w:color w:val="171717" w:themeColor="background2" w:themeShade="1A"/>
                <w:sz w:val="22"/>
                <w:szCs w:val="22"/>
              </w:rPr>
              <w:t xml:space="preserve"> </w:t>
            </w:r>
            <w:r>
              <w:rPr>
                <w:color w:val="171717" w:themeColor="background2" w:themeShade="1A"/>
                <w:sz w:val="22"/>
                <w:szCs w:val="22"/>
              </w:rPr>
              <w:t>no injection</w:t>
            </w:r>
            <w:r w:rsidR="00BB45EE" w:rsidRPr="00BB45EE">
              <w:rPr>
                <w:color w:val="171717" w:themeColor="background2" w:themeShade="1A"/>
                <w:sz w:val="22"/>
                <w:szCs w:val="22"/>
              </w:rPr>
              <w:t>-site pain</w:t>
            </w:r>
            <w:r>
              <w:rPr>
                <w:color w:val="171717" w:themeColor="background2" w:themeShade="1A"/>
                <w:sz w:val="22"/>
                <w:szCs w:val="22"/>
              </w:rPr>
              <w:t xml:space="preserve"> reported </w:t>
            </w:r>
          </w:p>
          <w:p w14:paraId="61D6F1C3" w14:textId="67C6EAB7" w:rsidR="002D563D" w:rsidRDefault="00BC2A0A" w:rsidP="000A635E">
            <w:pPr>
              <w:pStyle w:val="ListParagraph"/>
              <w:numPr>
                <w:ilvl w:val="0"/>
                <w:numId w:val="11"/>
              </w:numPr>
              <w:spacing w:line="278" w:lineRule="auto"/>
              <w:rPr>
                <w:color w:val="171717" w:themeColor="background2" w:themeShade="1A"/>
                <w:sz w:val="22"/>
                <w:szCs w:val="22"/>
              </w:rPr>
            </w:pPr>
            <w:r w:rsidRPr="00BC2A0A">
              <w:rPr>
                <w:b/>
                <w:bCs/>
                <w:color w:val="171717" w:themeColor="background2" w:themeShade="1A"/>
                <w:sz w:val="22"/>
                <w:szCs w:val="22"/>
              </w:rPr>
              <w:t>Next milestones:</w:t>
            </w:r>
            <w:r>
              <w:rPr>
                <w:color w:val="171717" w:themeColor="background2" w:themeShade="1A"/>
                <w:sz w:val="22"/>
                <w:szCs w:val="22"/>
              </w:rPr>
              <w:t xml:space="preserve"> </w:t>
            </w:r>
            <w:r w:rsidR="00B01717">
              <w:rPr>
                <w:color w:val="171717" w:themeColor="background2" w:themeShade="1A"/>
                <w:sz w:val="22"/>
                <w:szCs w:val="22"/>
              </w:rPr>
              <w:t xml:space="preserve">Additional data from </w:t>
            </w:r>
            <w:hyperlink r:id="rId21" w:history="1">
              <w:r w:rsidR="00B01717" w:rsidRPr="005C110D">
                <w:rPr>
                  <w:rStyle w:val="Hyperlink"/>
                  <w:sz w:val="22"/>
                  <w:szCs w:val="22"/>
                </w:rPr>
                <w:t>A</w:t>
              </w:r>
              <w:r w:rsidR="00246240">
                <w:rPr>
                  <w:rStyle w:val="Hyperlink"/>
                  <w:sz w:val="22"/>
                  <w:szCs w:val="22"/>
                </w:rPr>
                <w:t>D</w:t>
              </w:r>
              <w:r w:rsidR="00B01717" w:rsidRPr="005C110D">
                <w:rPr>
                  <w:rStyle w:val="Hyperlink"/>
                  <w:sz w:val="22"/>
                  <w:szCs w:val="22"/>
                </w:rPr>
                <w:t>orable-1</w:t>
              </w:r>
            </w:hyperlink>
            <w:r w:rsidR="00B01717">
              <w:rPr>
                <w:color w:val="171717" w:themeColor="background2" w:themeShade="1A"/>
                <w:sz w:val="22"/>
                <w:szCs w:val="22"/>
              </w:rPr>
              <w:t xml:space="preserve"> and </w:t>
            </w:r>
            <w:hyperlink r:id="rId22" w:history="1">
              <w:r w:rsidR="00B01717" w:rsidRPr="001A7F69">
                <w:rPr>
                  <w:rStyle w:val="Hyperlink"/>
                  <w:sz w:val="22"/>
                  <w:szCs w:val="22"/>
                </w:rPr>
                <w:t>A</w:t>
              </w:r>
              <w:r w:rsidR="00246240">
                <w:rPr>
                  <w:rStyle w:val="Hyperlink"/>
                  <w:sz w:val="22"/>
                  <w:szCs w:val="22"/>
                </w:rPr>
                <w:t>D</w:t>
              </w:r>
              <w:r w:rsidR="00B01717" w:rsidRPr="001A7F69">
                <w:rPr>
                  <w:rStyle w:val="Hyperlink"/>
                  <w:sz w:val="22"/>
                  <w:szCs w:val="22"/>
                </w:rPr>
                <w:t>orable-2</w:t>
              </w:r>
            </w:hyperlink>
            <w:r w:rsidR="00B01717">
              <w:rPr>
                <w:color w:val="171717" w:themeColor="background2" w:themeShade="1A"/>
                <w:sz w:val="22"/>
                <w:szCs w:val="22"/>
              </w:rPr>
              <w:t>, the 52-week extension study following A</w:t>
            </w:r>
            <w:r w:rsidR="00246240">
              <w:rPr>
                <w:color w:val="171717" w:themeColor="background2" w:themeShade="1A"/>
                <w:sz w:val="22"/>
                <w:szCs w:val="22"/>
              </w:rPr>
              <w:t>D</w:t>
            </w:r>
            <w:r w:rsidR="00B01717">
              <w:rPr>
                <w:color w:val="171717" w:themeColor="background2" w:themeShade="1A"/>
                <w:sz w:val="22"/>
                <w:szCs w:val="22"/>
              </w:rPr>
              <w:t>orable-1 participants are expected to be released later this year</w:t>
            </w:r>
            <w:r w:rsidR="00246240">
              <w:rPr>
                <w:i/>
                <w:iCs/>
                <w:color w:val="0070C0"/>
                <w:sz w:val="22"/>
                <w:szCs w:val="22"/>
              </w:rPr>
              <w:t xml:space="preserve"> (timelines undisclosed; note that no AAD 2026 abstracts include these data)</w:t>
            </w:r>
          </w:p>
          <w:p w14:paraId="726BF702" w14:textId="77777777" w:rsidR="00D572E4" w:rsidRDefault="00D572E4" w:rsidP="002E6873">
            <w:pPr>
              <w:rPr>
                <w:b/>
                <w:bCs/>
                <w:color w:val="002060"/>
                <w:sz w:val="22"/>
                <w:szCs w:val="22"/>
              </w:rPr>
            </w:pPr>
          </w:p>
          <w:p w14:paraId="23444655" w14:textId="77777777" w:rsidR="00B66789" w:rsidRDefault="00B66789" w:rsidP="00B66789">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B66789" w:rsidRPr="00D5078E" w14:paraId="694A1440" w14:textId="77777777" w:rsidTr="00933BD4">
              <w:trPr>
                <w:trHeight w:val="330"/>
                <w:jc w:val="center"/>
              </w:trPr>
              <w:tc>
                <w:tcPr>
                  <w:tcW w:w="2660" w:type="dxa"/>
                  <w:shd w:val="clear" w:color="auto" w:fill="002060"/>
                  <w:tcMar>
                    <w:left w:w="105" w:type="dxa"/>
                    <w:right w:w="105" w:type="dxa"/>
                  </w:tcMar>
                </w:tcPr>
                <w:p w14:paraId="0D4B0086" w14:textId="77777777" w:rsidR="00B66789" w:rsidRPr="00D5078E" w:rsidRDefault="00B66789" w:rsidP="00B66789">
                  <w:pPr>
                    <w:rPr>
                      <w:rFonts w:ascii="Aptos" w:eastAsia="Aptos" w:hAnsi="Aptos" w:cs="Aptos"/>
                      <w:sz w:val="22"/>
                      <w:szCs w:val="22"/>
                    </w:rPr>
                  </w:pPr>
                </w:p>
              </w:tc>
              <w:tc>
                <w:tcPr>
                  <w:tcW w:w="1880" w:type="dxa"/>
                  <w:shd w:val="clear" w:color="auto" w:fill="002060"/>
                  <w:tcMar>
                    <w:left w:w="105" w:type="dxa"/>
                    <w:right w:w="105" w:type="dxa"/>
                  </w:tcMar>
                </w:tcPr>
                <w:p w14:paraId="115FDFC3"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617EF78"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7F4A87D6"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B66789" w:rsidRPr="00D5078E" w14:paraId="1B00FF45" w14:textId="77777777" w:rsidTr="00933BD4">
              <w:trPr>
                <w:trHeight w:val="330"/>
                <w:jc w:val="center"/>
              </w:trPr>
              <w:tc>
                <w:tcPr>
                  <w:tcW w:w="2660" w:type="dxa"/>
                  <w:tcMar>
                    <w:left w:w="105" w:type="dxa"/>
                    <w:right w:w="105" w:type="dxa"/>
                  </w:tcMar>
                </w:tcPr>
                <w:p w14:paraId="59F7D0A9"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130CD570" w14:textId="77777777" w:rsidR="00B66789" w:rsidRPr="00296DAA" w:rsidRDefault="00B66789" w:rsidP="00B66789">
                  <w:pPr>
                    <w:rPr>
                      <w:rFonts w:ascii="Aptos" w:eastAsia="Aptos" w:hAnsi="Aptos" w:cs="Aptos"/>
                      <w:color w:val="0070C0"/>
                      <w:sz w:val="22"/>
                      <w:szCs w:val="22"/>
                    </w:rPr>
                  </w:pPr>
                  <w:hyperlink r:id="rId23">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6E64EEB2" w14:textId="77777777" w:rsidR="00B66789" w:rsidRPr="00296DAA" w:rsidRDefault="00B66789" w:rsidP="00B66789">
                  <w:pPr>
                    <w:rPr>
                      <w:rFonts w:ascii="Aptos" w:eastAsia="Aptos" w:hAnsi="Aptos" w:cs="Aptos"/>
                      <w:color w:val="0070C0"/>
                      <w:sz w:val="22"/>
                      <w:szCs w:val="22"/>
                    </w:rPr>
                  </w:pPr>
                  <w:hyperlink r:id="rId24"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312607AB" w14:textId="77777777" w:rsidR="00B66789" w:rsidRPr="00296DAA" w:rsidRDefault="00B66789" w:rsidP="00B66789">
                  <w:pPr>
                    <w:rPr>
                      <w:rFonts w:ascii="Aptos" w:eastAsia="Aptos" w:hAnsi="Aptos" w:cs="Aptos"/>
                      <w:color w:val="0070C0"/>
                      <w:sz w:val="22"/>
                      <w:szCs w:val="22"/>
                    </w:rPr>
                  </w:pPr>
                  <w:hyperlink r:id="rId25">
                    <w:r w:rsidRPr="00296DAA">
                      <w:rPr>
                        <w:rStyle w:val="Hyperlink"/>
                        <w:rFonts w:ascii="Aptos" w:eastAsia="Aptos" w:hAnsi="Aptos" w:cs="Aptos"/>
                        <w:color w:val="0070C0"/>
                        <w:sz w:val="22"/>
                        <w:szCs w:val="22"/>
                      </w:rPr>
                      <w:t>Luke Versten</w:t>
                    </w:r>
                  </w:hyperlink>
                </w:p>
              </w:tc>
            </w:tr>
            <w:tr w:rsidR="00B66789" w:rsidRPr="00D5078E" w14:paraId="73CA57DB" w14:textId="77777777" w:rsidTr="00933BD4">
              <w:trPr>
                <w:trHeight w:val="195"/>
                <w:jc w:val="center"/>
              </w:trPr>
              <w:tc>
                <w:tcPr>
                  <w:tcW w:w="2660" w:type="dxa"/>
                  <w:tcMar>
                    <w:left w:w="105" w:type="dxa"/>
                    <w:right w:w="105" w:type="dxa"/>
                  </w:tcMar>
                </w:tcPr>
                <w:p w14:paraId="104DACDF"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0EEDA056" w14:textId="77777777" w:rsidR="00B66789" w:rsidRPr="00296DAA" w:rsidRDefault="00B66789" w:rsidP="00B66789">
                  <w:pPr>
                    <w:rPr>
                      <w:rFonts w:ascii="Aptos" w:eastAsia="Aptos" w:hAnsi="Aptos" w:cs="Aptos"/>
                      <w:color w:val="0070C0"/>
                      <w:sz w:val="22"/>
                      <w:szCs w:val="22"/>
                    </w:rPr>
                  </w:pPr>
                  <w:hyperlink r:id="rId26">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4D2CB4FE" w14:textId="77777777" w:rsidR="00B66789" w:rsidRPr="00296DAA" w:rsidRDefault="00B66789" w:rsidP="00B66789">
                  <w:pPr>
                    <w:rPr>
                      <w:rFonts w:ascii="Aptos" w:eastAsia="Aptos" w:hAnsi="Aptos" w:cs="Aptos"/>
                      <w:color w:val="0070C0"/>
                      <w:sz w:val="22"/>
                      <w:szCs w:val="22"/>
                    </w:rPr>
                  </w:pPr>
                  <w:hyperlink r:id="rId27">
                    <w:r w:rsidRPr="00296DAA">
                      <w:rPr>
                        <w:rStyle w:val="Hyperlink"/>
                        <w:rFonts w:ascii="Aptos" w:eastAsia="Aptos" w:hAnsi="Aptos" w:cs="Aptos"/>
                        <w:color w:val="0070C0"/>
                        <w:sz w:val="22"/>
                        <w:szCs w:val="22"/>
                      </w:rPr>
                      <w:t>Irene Knorn</w:t>
                    </w:r>
                  </w:hyperlink>
                  <w:r w:rsidRPr="00296DAA">
                    <w:rPr>
                      <w:rFonts w:ascii="Aptos" w:eastAsia="Aptos" w:hAnsi="Aptos" w:cs="Aptos"/>
                      <w:color w:val="0070C0"/>
                      <w:sz w:val="22"/>
                      <w:szCs w:val="22"/>
                      <w:u w:val="single"/>
                    </w:rPr>
                    <w:t> </w:t>
                  </w:r>
                </w:p>
              </w:tc>
              <w:tc>
                <w:tcPr>
                  <w:tcW w:w="2415" w:type="dxa"/>
                  <w:tcMar>
                    <w:left w:w="105" w:type="dxa"/>
                    <w:right w:w="105" w:type="dxa"/>
                  </w:tcMar>
                </w:tcPr>
                <w:p w14:paraId="4728657D" w14:textId="77777777" w:rsidR="00B66789" w:rsidRPr="00296DAA" w:rsidRDefault="00B66789" w:rsidP="00B66789">
                  <w:pPr>
                    <w:rPr>
                      <w:rFonts w:ascii="Aptos" w:eastAsia="Aptos" w:hAnsi="Aptos" w:cs="Aptos"/>
                      <w:color w:val="0070C0"/>
                      <w:sz w:val="22"/>
                      <w:szCs w:val="22"/>
                    </w:rPr>
                  </w:pPr>
                  <w:hyperlink r:id="rId28">
                    <w:r w:rsidRPr="00296DAA">
                      <w:rPr>
                        <w:rStyle w:val="Hyperlink"/>
                        <w:rFonts w:ascii="Aptos" w:eastAsia="Aptos" w:hAnsi="Aptos" w:cs="Aptos"/>
                        <w:color w:val="0070C0"/>
                        <w:sz w:val="22"/>
                        <w:szCs w:val="22"/>
                      </w:rPr>
                      <w:t>Priti Anand</w:t>
                    </w:r>
                  </w:hyperlink>
                </w:p>
              </w:tc>
            </w:tr>
          </w:tbl>
          <w:p w14:paraId="3BEEB87C" w14:textId="77777777" w:rsidR="00B66789" w:rsidRDefault="00B66789" w:rsidP="002E6873">
            <w:pPr>
              <w:rPr>
                <w:b/>
                <w:bCs/>
                <w:color w:val="002060"/>
                <w:sz w:val="22"/>
                <w:szCs w:val="22"/>
              </w:rPr>
            </w:pPr>
          </w:p>
          <w:p w14:paraId="12CBCE83" w14:textId="77777777" w:rsidR="00331521" w:rsidRPr="00331521" w:rsidRDefault="00331521" w:rsidP="00331521">
            <w:pPr>
              <w:keepNext/>
              <w:rPr>
                <w:rFonts w:eastAsia="Aptos" w:cs="Aptos"/>
                <w:color w:val="000000" w:themeColor="text1"/>
                <w:sz w:val="22"/>
                <w:szCs w:val="22"/>
              </w:rPr>
            </w:pPr>
            <w:hyperlink r:id="rId29">
              <w:r w:rsidRPr="00331521">
                <w:rPr>
                  <w:rStyle w:val="Hyperlink"/>
                  <w:rFonts w:eastAsia="Aptos" w:cs="Aptos"/>
                  <w:color w:val="0563C1"/>
                  <w:sz w:val="22"/>
                  <w:szCs w:val="22"/>
                </w:rPr>
                <w:t xml:space="preserve">Invite your colleagues to </w:t>
              </w:r>
              <w:proofErr w:type="spellStart"/>
              <w:r w:rsidRPr="00331521">
                <w:rPr>
                  <w:rStyle w:val="Hyperlink"/>
                  <w:rFonts w:eastAsia="Aptos" w:cs="Aptos"/>
                  <w:color w:val="0563C1"/>
                  <w:sz w:val="22"/>
                  <w:szCs w:val="22"/>
                </w:rPr>
                <w:t>inVision</w:t>
              </w:r>
              <w:proofErr w:type="spellEnd"/>
            </w:hyperlink>
            <w:r w:rsidRPr="00331521">
              <w:rPr>
                <w:rStyle w:val="normaltextrun"/>
                <w:rFonts w:eastAsia="Aptos" w:cs="Aptos"/>
                <w:color w:val="0070C0"/>
                <w:sz w:val="22"/>
                <w:szCs w:val="22"/>
              </w:rPr>
              <w:t> | </w:t>
            </w:r>
            <w:hyperlink r:id="rId30">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31">
              <w:r w:rsidRPr="00331521">
                <w:rPr>
                  <w:rStyle w:val="Hyperlink"/>
                  <w:rFonts w:eastAsia="Aptos" w:cs="Aptos"/>
                  <w:color w:val="0563C1"/>
                  <w:sz w:val="22"/>
                  <w:szCs w:val="22"/>
                </w:rPr>
                <w:t>Unsubscribe</w:t>
              </w:r>
            </w:hyperlink>
          </w:p>
          <w:p w14:paraId="32207C10" w14:textId="77777777" w:rsidR="00B66789" w:rsidRDefault="00B66789" w:rsidP="002E6873">
            <w:pPr>
              <w:rPr>
                <w:b/>
                <w:bCs/>
                <w:color w:val="002060"/>
                <w:sz w:val="22"/>
                <w:szCs w:val="22"/>
              </w:rPr>
            </w:pPr>
          </w:p>
          <w:p w14:paraId="1334539E" w14:textId="0B94AF9E" w:rsidR="00B66789" w:rsidRPr="003F7618" w:rsidRDefault="006A6CD3" w:rsidP="002E6873">
            <w:pPr>
              <w:rPr>
                <w:i/>
                <w:iCs/>
                <w:color w:val="002060"/>
                <w:sz w:val="20"/>
                <w:szCs w:val="20"/>
              </w:rPr>
            </w:pPr>
            <w:r w:rsidRPr="001972A4">
              <w:rPr>
                <w:i/>
                <w:iCs/>
                <w:color w:val="171717" w:themeColor="background2" w:themeShade="1A"/>
                <w:sz w:val="20"/>
                <w:szCs w:val="20"/>
              </w:rPr>
              <w:t xml:space="preserve">This </w:t>
            </w:r>
            <w:r w:rsidR="002C2D65" w:rsidRPr="002C2D65">
              <w:rPr>
                <w:i/>
                <w:iCs/>
                <w:color w:val="171717" w:themeColor="background2" w:themeShade="1A"/>
                <w:sz w:val="20"/>
                <w:szCs w:val="20"/>
              </w:rPr>
              <w:t>document contains competitive intelligence collected via AbbVie approved methods or vendors. We collect competitive intelligence consistent with industry standards and AbbVie policy. Not for commercial field use. Please reach out to CI, Legal or OEC with any questions</w:t>
            </w:r>
            <w:r w:rsidRPr="001972A4">
              <w:rPr>
                <w:i/>
                <w:iCs/>
                <w:color w:val="171717" w:themeColor="background2" w:themeShade="1A"/>
                <w:sz w:val="20"/>
                <w:szCs w:val="20"/>
              </w:rPr>
              <w:t>.</w:t>
            </w:r>
          </w:p>
        </w:tc>
      </w:tr>
      <w:tr w:rsidR="00C31153" w14:paraId="0D93EB2E" w14:textId="77777777" w:rsidTr="00B327A6">
        <w:trPr>
          <w:jc w:val="center"/>
        </w:trPr>
        <w:tc>
          <w:tcPr>
            <w:tcW w:w="9504" w:type="dxa"/>
          </w:tcPr>
          <w:p w14:paraId="2C211E4B" w14:textId="77777777" w:rsidR="00C31153" w:rsidRPr="00D5078E" w:rsidRDefault="00C31153" w:rsidP="002E6873">
            <w:pPr>
              <w:jc w:val="center"/>
              <w:rPr>
                <w:noProof/>
              </w:rPr>
            </w:pPr>
          </w:p>
        </w:tc>
      </w:tr>
    </w:tbl>
    <w:p w14:paraId="0E3E94FF" w14:textId="77777777" w:rsidR="00E76886" w:rsidRDefault="00E76886"/>
    <w:sectPr w:rsidR="00E76886" w:rsidSect="001572B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54D6"/>
    <w:multiLevelType w:val="hybridMultilevel"/>
    <w:tmpl w:val="BC3848A6"/>
    <w:lvl w:ilvl="0" w:tplc="1F98545C">
      <w:start w:val="1"/>
      <w:numFmt w:val="bullet"/>
      <w:lvlText w:val=""/>
      <w:lvlJc w:val="left"/>
      <w:pPr>
        <w:ind w:left="360" w:hanging="360"/>
      </w:pPr>
      <w:rPr>
        <w:rFonts w:ascii="Symbol" w:hAnsi="Symbol" w:hint="default"/>
        <w:sz w:val="22"/>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2" w15:restartNumberingAfterBreak="0">
    <w:nsid w:val="14147978"/>
    <w:multiLevelType w:val="hybridMultilevel"/>
    <w:tmpl w:val="9172448C"/>
    <w:lvl w:ilvl="0" w:tplc="1F98545C">
      <w:start w:val="1"/>
      <w:numFmt w:val="bullet"/>
      <w:lvlText w:val=""/>
      <w:lvlJc w:val="left"/>
      <w:pPr>
        <w:ind w:left="720" w:hanging="360"/>
      </w:pPr>
      <w:rPr>
        <w:rFonts w:ascii="Symbol" w:hAnsi="Symbol" w:hint="default"/>
        <w:color w:val="0070C0"/>
        <w:sz w:val="22"/>
      </w:rPr>
    </w:lvl>
    <w:lvl w:ilvl="1" w:tplc="FFFFFFFF">
      <w:start w:val="1"/>
      <w:numFmt w:val="bullet"/>
      <w:lvlText w:val="o"/>
      <w:lvlJc w:val="left"/>
      <w:pPr>
        <w:ind w:left="1440" w:hanging="360"/>
      </w:pPr>
      <w:rPr>
        <w:rFonts w:ascii="Courier New" w:hAnsi="Courier New" w:hint="default"/>
        <w:color w:val="0070C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314111"/>
    <w:multiLevelType w:val="hybridMultilevel"/>
    <w:tmpl w:val="DF5C48B4"/>
    <w:lvl w:ilvl="0" w:tplc="1F98545C">
      <w:start w:val="1"/>
      <w:numFmt w:val="bullet"/>
      <w:lvlText w:val=""/>
      <w:lvlJc w:val="left"/>
      <w:pPr>
        <w:ind w:left="720" w:hanging="360"/>
      </w:pPr>
      <w:rPr>
        <w:rFonts w:ascii="Symbol" w:hAnsi="Symbol" w:hint="default"/>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C06E7E"/>
    <w:multiLevelType w:val="hybridMultilevel"/>
    <w:tmpl w:val="2E42E732"/>
    <w:lvl w:ilvl="0" w:tplc="1F98545C">
      <w:start w:val="1"/>
      <w:numFmt w:val="bullet"/>
      <w:lvlText w:val=""/>
      <w:lvlJc w:val="left"/>
      <w:pPr>
        <w:ind w:left="720" w:hanging="360"/>
      </w:pPr>
      <w:rPr>
        <w:rFonts w:ascii="Symbol" w:hAnsi="Symbol" w:hint="default"/>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C97137"/>
    <w:multiLevelType w:val="hybridMultilevel"/>
    <w:tmpl w:val="E076906E"/>
    <w:lvl w:ilvl="0" w:tplc="3432C39C">
      <w:start w:val="1"/>
      <w:numFmt w:val="bullet"/>
      <w:lvlText w:val=""/>
      <w:lvlJc w:val="left"/>
      <w:pPr>
        <w:ind w:left="720" w:hanging="360"/>
      </w:pPr>
      <w:rPr>
        <w:rFonts w:ascii="Symbol" w:hAnsi="Symbol" w:hint="default"/>
        <w:color w:val="0070C0"/>
      </w:rPr>
    </w:lvl>
    <w:lvl w:ilvl="1" w:tplc="02B2C0F2">
      <w:start w:val="1"/>
      <w:numFmt w:val="bullet"/>
      <w:lvlText w:val="o"/>
      <w:lvlJc w:val="left"/>
      <w:pPr>
        <w:ind w:left="1440" w:hanging="360"/>
      </w:pPr>
      <w:rPr>
        <w:rFonts w:ascii="Courier New" w:hAnsi="Courier New" w:hint="default"/>
        <w:color w:val="0070C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B14DB7"/>
    <w:multiLevelType w:val="hybridMultilevel"/>
    <w:tmpl w:val="366E92FC"/>
    <w:lvl w:ilvl="0" w:tplc="1F98545C">
      <w:start w:val="1"/>
      <w:numFmt w:val="bullet"/>
      <w:lvlText w:val=""/>
      <w:lvlJc w:val="left"/>
      <w:pPr>
        <w:ind w:left="720" w:hanging="360"/>
      </w:pPr>
      <w:rPr>
        <w:rFonts w:ascii="Symbol" w:hAnsi="Symbol" w:hint="default"/>
        <w:color w:val="0070C0"/>
        <w:sz w:val="22"/>
      </w:rPr>
    </w:lvl>
    <w:lvl w:ilvl="1" w:tplc="FFFFFFFF">
      <w:start w:val="1"/>
      <w:numFmt w:val="bullet"/>
      <w:lvlText w:val="o"/>
      <w:lvlJc w:val="left"/>
      <w:pPr>
        <w:ind w:left="1440" w:hanging="360"/>
      </w:pPr>
      <w:rPr>
        <w:rFonts w:ascii="Courier New" w:hAnsi="Courier New" w:hint="default"/>
        <w:color w:val="0070C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83E3677"/>
    <w:multiLevelType w:val="hybridMultilevel"/>
    <w:tmpl w:val="54EE94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D57DC1"/>
    <w:multiLevelType w:val="hybridMultilevel"/>
    <w:tmpl w:val="F8022292"/>
    <w:lvl w:ilvl="0" w:tplc="1F98545C">
      <w:start w:val="1"/>
      <w:numFmt w:val="bullet"/>
      <w:lvlText w:val=""/>
      <w:lvlJc w:val="left"/>
      <w:pPr>
        <w:ind w:left="720" w:hanging="360"/>
      </w:pPr>
      <w:rPr>
        <w:rFonts w:ascii="Symbol" w:hAnsi="Symbol" w:hint="default"/>
        <w:color w:val="0070C0"/>
        <w:sz w:val="22"/>
      </w:rPr>
    </w:lvl>
    <w:lvl w:ilvl="1" w:tplc="FFFFFFFF">
      <w:start w:val="1"/>
      <w:numFmt w:val="bullet"/>
      <w:lvlText w:val="o"/>
      <w:lvlJc w:val="left"/>
      <w:pPr>
        <w:ind w:left="1440" w:hanging="360"/>
      </w:pPr>
      <w:rPr>
        <w:rFonts w:ascii="Courier New" w:hAnsi="Courier New" w:hint="default"/>
        <w:color w:val="0070C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1CD4549"/>
    <w:multiLevelType w:val="hybridMultilevel"/>
    <w:tmpl w:val="D43ED480"/>
    <w:lvl w:ilvl="0" w:tplc="3432C39C">
      <w:start w:val="1"/>
      <w:numFmt w:val="bullet"/>
      <w:lvlText w:val=""/>
      <w:lvlJc w:val="left"/>
      <w:pPr>
        <w:ind w:left="720" w:hanging="360"/>
      </w:pPr>
      <w:rPr>
        <w:rFonts w:ascii="Symbol" w:hAnsi="Symbol" w:hint="default"/>
        <w:color w:val="0070C0"/>
        <w:sz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21E548E"/>
    <w:multiLevelType w:val="hybridMultilevel"/>
    <w:tmpl w:val="1EA4F4AE"/>
    <w:lvl w:ilvl="0" w:tplc="1F98545C">
      <w:start w:val="1"/>
      <w:numFmt w:val="bullet"/>
      <w:lvlText w:val=""/>
      <w:lvlJc w:val="left"/>
      <w:pPr>
        <w:ind w:left="720" w:hanging="360"/>
      </w:pPr>
      <w:rPr>
        <w:rFonts w:ascii="Symbol" w:hAnsi="Symbol" w:hint="default"/>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E005276"/>
    <w:multiLevelType w:val="hybridMultilevel"/>
    <w:tmpl w:val="72629454"/>
    <w:lvl w:ilvl="0" w:tplc="1F98545C">
      <w:start w:val="1"/>
      <w:numFmt w:val="bullet"/>
      <w:lvlText w:val=""/>
      <w:lvlJc w:val="left"/>
      <w:pPr>
        <w:ind w:left="1080" w:hanging="360"/>
      </w:pPr>
      <w:rPr>
        <w:rFonts w:ascii="Symbol" w:hAnsi="Symbol" w:hint="default"/>
        <w:sz w:val="2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6FE86FBB"/>
    <w:multiLevelType w:val="hybridMultilevel"/>
    <w:tmpl w:val="3F6C6AF8"/>
    <w:lvl w:ilvl="0" w:tplc="1F98545C">
      <w:start w:val="1"/>
      <w:numFmt w:val="bullet"/>
      <w:lvlText w:val=""/>
      <w:lvlJc w:val="left"/>
      <w:pPr>
        <w:ind w:left="720" w:hanging="360"/>
      </w:pPr>
      <w:rPr>
        <w:rFonts w:ascii="Symbol" w:hAnsi="Symbol" w:hint="default"/>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abstractNum w:abstractNumId="14" w15:restartNumberingAfterBreak="0">
    <w:nsid w:val="776E1532"/>
    <w:multiLevelType w:val="hybridMultilevel"/>
    <w:tmpl w:val="CABAECEA"/>
    <w:lvl w:ilvl="0" w:tplc="1F98545C">
      <w:start w:val="1"/>
      <w:numFmt w:val="bullet"/>
      <w:lvlText w:val=""/>
      <w:lvlJc w:val="left"/>
      <w:pPr>
        <w:ind w:left="720" w:hanging="360"/>
      </w:pPr>
      <w:rPr>
        <w:rFonts w:ascii="Symbol" w:hAnsi="Symbol" w:hint="default"/>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6764156">
    <w:abstractNumId w:val="5"/>
  </w:num>
  <w:num w:numId="2" w16cid:durableId="1425108719">
    <w:abstractNumId w:val="13"/>
  </w:num>
  <w:num w:numId="3" w16cid:durableId="1255942747">
    <w:abstractNumId w:val="1"/>
  </w:num>
  <w:num w:numId="4" w16cid:durableId="1328291616">
    <w:abstractNumId w:val="7"/>
  </w:num>
  <w:num w:numId="5" w16cid:durableId="990595157">
    <w:abstractNumId w:val="6"/>
  </w:num>
  <w:num w:numId="6" w16cid:durableId="1385445951">
    <w:abstractNumId w:val="2"/>
  </w:num>
  <w:num w:numId="7" w16cid:durableId="398210017">
    <w:abstractNumId w:val="12"/>
  </w:num>
  <w:num w:numId="8" w16cid:durableId="389812444">
    <w:abstractNumId w:val="8"/>
  </w:num>
  <w:num w:numId="9" w16cid:durableId="1454667180">
    <w:abstractNumId w:val="3"/>
  </w:num>
  <w:num w:numId="10" w16cid:durableId="1005942822">
    <w:abstractNumId w:val="4"/>
  </w:num>
  <w:num w:numId="11" w16cid:durableId="1349675954">
    <w:abstractNumId w:val="10"/>
  </w:num>
  <w:num w:numId="12" w16cid:durableId="1186791432">
    <w:abstractNumId w:val="9"/>
  </w:num>
  <w:num w:numId="13" w16cid:durableId="1266230600">
    <w:abstractNumId w:val="14"/>
  </w:num>
  <w:num w:numId="14" w16cid:durableId="1760371350">
    <w:abstractNumId w:val="0"/>
  </w:num>
  <w:num w:numId="15" w16cid:durableId="10930177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0202B"/>
    <w:rsid w:val="00003B4A"/>
    <w:rsid w:val="00004512"/>
    <w:rsid w:val="00012C79"/>
    <w:rsid w:val="00013260"/>
    <w:rsid w:val="00013734"/>
    <w:rsid w:val="0001479E"/>
    <w:rsid w:val="00015367"/>
    <w:rsid w:val="00017A79"/>
    <w:rsid w:val="0002066C"/>
    <w:rsid w:val="00022B3C"/>
    <w:rsid w:val="00023938"/>
    <w:rsid w:val="00035082"/>
    <w:rsid w:val="00036E53"/>
    <w:rsid w:val="000375DA"/>
    <w:rsid w:val="0004285C"/>
    <w:rsid w:val="00045748"/>
    <w:rsid w:val="0004775B"/>
    <w:rsid w:val="000478BF"/>
    <w:rsid w:val="000522EC"/>
    <w:rsid w:val="0007204B"/>
    <w:rsid w:val="00073BD2"/>
    <w:rsid w:val="00073FA0"/>
    <w:rsid w:val="00084F66"/>
    <w:rsid w:val="00085030"/>
    <w:rsid w:val="00094CDC"/>
    <w:rsid w:val="000952AD"/>
    <w:rsid w:val="000A1815"/>
    <w:rsid w:val="000A1DFC"/>
    <w:rsid w:val="000A21C0"/>
    <w:rsid w:val="000A4908"/>
    <w:rsid w:val="000A635E"/>
    <w:rsid w:val="000C111C"/>
    <w:rsid w:val="000C450F"/>
    <w:rsid w:val="000D1AE4"/>
    <w:rsid w:val="000D4897"/>
    <w:rsid w:val="000E0D37"/>
    <w:rsid w:val="000E746F"/>
    <w:rsid w:val="000F7864"/>
    <w:rsid w:val="0010438C"/>
    <w:rsid w:val="00105672"/>
    <w:rsid w:val="00106C5B"/>
    <w:rsid w:val="00107840"/>
    <w:rsid w:val="00114A7F"/>
    <w:rsid w:val="001172A4"/>
    <w:rsid w:val="00122377"/>
    <w:rsid w:val="00125070"/>
    <w:rsid w:val="00140B66"/>
    <w:rsid w:val="00155ED4"/>
    <w:rsid w:val="0015630E"/>
    <w:rsid w:val="001572B1"/>
    <w:rsid w:val="00171079"/>
    <w:rsid w:val="00175F53"/>
    <w:rsid w:val="00181845"/>
    <w:rsid w:val="00181E16"/>
    <w:rsid w:val="00182B94"/>
    <w:rsid w:val="00183D32"/>
    <w:rsid w:val="00185947"/>
    <w:rsid w:val="00186208"/>
    <w:rsid w:val="00186D68"/>
    <w:rsid w:val="00194CFD"/>
    <w:rsid w:val="00196C97"/>
    <w:rsid w:val="001972A4"/>
    <w:rsid w:val="001A7F69"/>
    <w:rsid w:val="001B2379"/>
    <w:rsid w:val="001B38CB"/>
    <w:rsid w:val="001D432E"/>
    <w:rsid w:val="001D6BE4"/>
    <w:rsid w:val="001E400B"/>
    <w:rsid w:val="001E4C27"/>
    <w:rsid w:val="001E77B6"/>
    <w:rsid w:val="001F128F"/>
    <w:rsid w:val="001F701F"/>
    <w:rsid w:val="002000CB"/>
    <w:rsid w:val="00202922"/>
    <w:rsid w:val="002037C6"/>
    <w:rsid w:val="002039F3"/>
    <w:rsid w:val="00205177"/>
    <w:rsid w:val="0021176B"/>
    <w:rsid w:val="002117DF"/>
    <w:rsid w:val="002241AE"/>
    <w:rsid w:val="00224962"/>
    <w:rsid w:val="00225E74"/>
    <w:rsid w:val="00240286"/>
    <w:rsid w:val="00241BD0"/>
    <w:rsid w:val="0024525F"/>
    <w:rsid w:val="00245EB5"/>
    <w:rsid w:val="00246240"/>
    <w:rsid w:val="002462F0"/>
    <w:rsid w:val="00255690"/>
    <w:rsid w:val="0025590B"/>
    <w:rsid w:val="00262877"/>
    <w:rsid w:val="0026552F"/>
    <w:rsid w:val="00266D6A"/>
    <w:rsid w:val="00280A17"/>
    <w:rsid w:val="00284518"/>
    <w:rsid w:val="00284D26"/>
    <w:rsid w:val="002964D0"/>
    <w:rsid w:val="00296DAA"/>
    <w:rsid w:val="002A38CE"/>
    <w:rsid w:val="002A4AF4"/>
    <w:rsid w:val="002A7383"/>
    <w:rsid w:val="002B0E22"/>
    <w:rsid w:val="002B1718"/>
    <w:rsid w:val="002B21A2"/>
    <w:rsid w:val="002B25D0"/>
    <w:rsid w:val="002B3F0E"/>
    <w:rsid w:val="002B51B0"/>
    <w:rsid w:val="002C2190"/>
    <w:rsid w:val="002C2D65"/>
    <w:rsid w:val="002C3E69"/>
    <w:rsid w:val="002D563D"/>
    <w:rsid w:val="002E3F46"/>
    <w:rsid w:val="002E6873"/>
    <w:rsid w:val="002F293D"/>
    <w:rsid w:val="002F41C6"/>
    <w:rsid w:val="00302715"/>
    <w:rsid w:val="00302CAC"/>
    <w:rsid w:val="00302F4D"/>
    <w:rsid w:val="00304E42"/>
    <w:rsid w:val="00310736"/>
    <w:rsid w:val="00322620"/>
    <w:rsid w:val="003250C0"/>
    <w:rsid w:val="00330177"/>
    <w:rsid w:val="00331521"/>
    <w:rsid w:val="0033618E"/>
    <w:rsid w:val="00342394"/>
    <w:rsid w:val="00342561"/>
    <w:rsid w:val="00356F4A"/>
    <w:rsid w:val="0036779B"/>
    <w:rsid w:val="00367834"/>
    <w:rsid w:val="00376C9C"/>
    <w:rsid w:val="00377322"/>
    <w:rsid w:val="00381004"/>
    <w:rsid w:val="0038365A"/>
    <w:rsid w:val="00383A43"/>
    <w:rsid w:val="003848D9"/>
    <w:rsid w:val="003858CD"/>
    <w:rsid w:val="00386D8E"/>
    <w:rsid w:val="00387BCF"/>
    <w:rsid w:val="00390269"/>
    <w:rsid w:val="003907AE"/>
    <w:rsid w:val="00395FBE"/>
    <w:rsid w:val="003A05E4"/>
    <w:rsid w:val="003B4011"/>
    <w:rsid w:val="003B419A"/>
    <w:rsid w:val="003B46F7"/>
    <w:rsid w:val="003B6E56"/>
    <w:rsid w:val="003E5CA2"/>
    <w:rsid w:val="003E64D5"/>
    <w:rsid w:val="003E7EB7"/>
    <w:rsid w:val="003F492C"/>
    <w:rsid w:val="003F5EDB"/>
    <w:rsid w:val="003F719B"/>
    <w:rsid w:val="003F7618"/>
    <w:rsid w:val="00402314"/>
    <w:rsid w:val="00403396"/>
    <w:rsid w:val="004044ED"/>
    <w:rsid w:val="00407FE9"/>
    <w:rsid w:val="00411E4C"/>
    <w:rsid w:val="00414B87"/>
    <w:rsid w:val="00417CE2"/>
    <w:rsid w:val="0042067F"/>
    <w:rsid w:val="004302BA"/>
    <w:rsid w:val="00434B19"/>
    <w:rsid w:val="00444021"/>
    <w:rsid w:val="00456012"/>
    <w:rsid w:val="00471A11"/>
    <w:rsid w:val="0047458B"/>
    <w:rsid w:val="004800DD"/>
    <w:rsid w:val="00484C8B"/>
    <w:rsid w:val="00486B45"/>
    <w:rsid w:val="00490F8C"/>
    <w:rsid w:val="00491563"/>
    <w:rsid w:val="00491A59"/>
    <w:rsid w:val="00492AB4"/>
    <w:rsid w:val="0049449F"/>
    <w:rsid w:val="00496597"/>
    <w:rsid w:val="004966D2"/>
    <w:rsid w:val="00496C70"/>
    <w:rsid w:val="0049774C"/>
    <w:rsid w:val="004A3553"/>
    <w:rsid w:val="004A3710"/>
    <w:rsid w:val="004A7741"/>
    <w:rsid w:val="004A7828"/>
    <w:rsid w:val="004B4954"/>
    <w:rsid w:val="004B4B8A"/>
    <w:rsid w:val="004C6243"/>
    <w:rsid w:val="004C6457"/>
    <w:rsid w:val="004D0F38"/>
    <w:rsid w:val="004D22B6"/>
    <w:rsid w:val="004D28FE"/>
    <w:rsid w:val="004E2CE5"/>
    <w:rsid w:val="004E2D3A"/>
    <w:rsid w:val="004E451B"/>
    <w:rsid w:val="004E5052"/>
    <w:rsid w:val="004F35D8"/>
    <w:rsid w:val="004F501C"/>
    <w:rsid w:val="0050008F"/>
    <w:rsid w:val="00506638"/>
    <w:rsid w:val="00507986"/>
    <w:rsid w:val="005104E2"/>
    <w:rsid w:val="005115A1"/>
    <w:rsid w:val="00520AED"/>
    <w:rsid w:val="00523A34"/>
    <w:rsid w:val="00530947"/>
    <w:rsid w:val="00535FD0"/>
    <w:rsid w:val="00540AFF"/>
    <w:rsid w:val="00545297"/>
    <w:rsid w:val="00546EAF"/>
    <w:rsid w:val="00547170"/>
    <w:rsid w:val="0055149C"/>
    <w:rsid w:val="00553989"/>
    <w:rsid w:val="00556C8E"/>
    <w:rsid w:val="00561131"/>
    <w:rsid w:val="00561BFB"/>
    <w:rsid w:val="00564C21"/>
    <w:rsid w:val="00566390"/>
    <w:rsid w:val="00572828"/>
    <w:rsid w:val="0058079A"/>
    <w:rsid w:val="00584833"/>
    <w:rsid w:val="00595DE8"/>
    <w:rsid w:val="005963C3"/>
    <w:rsid w:val="005A13D8"/>
    <w:rsid w:val="005A2159"/>
    <w:rsid w:val="005A39C8"/>
    <w:rsid w:val="005A4457"/>
    <w:rsid w:val="005A4C89"/>
    <w:rsid w:val="005B078D"/>
    <w:rsid w:val="005B0EE5"/>
    <w:rsid w:val="005B56F5"/>
    <w:rsid w:val="005B5898"/>
    <w:rsid w:val="005B5945"/>
    <w:rsid w:val="005B6CF6"/>
    <w:rsid w:val="005C110D"/>
    <w:rsid w:val="005C20C2"/>
    <w:rsid w:val="005C2F76"/>
    <w:rsid w:val="005D03B6"/>
    <w:rsid w:val="005D6A2D"/>
    <w:rsid w:val="005E0021"/>
    <w:rsid w:val="005E097D"/>
    <w:rsid w:val="005F05A4"/>
    <w:rsid w:val="005F0DB0"/>
    <w:rsid w:val="005F13AB"/>
    <w:rsid w:val="005F24B0"/>
    <w:rsid w:val="005F48AD"/>
    <w:rsid w:val="005F56AC"/>
    <w:rsid w:val="005F5B8A"/>
    <w:rsid w:val="00601A9A"/>
    <w:rsid w:val="00603F3C"/>
    <w:rsid w:val="00607D69"/>
    <w:rsid w:val="00611138"/>
    <w:rsid w:val="00623792"/>
    <w:rsid w:val="00627155"/>
    <w:rsid w:val="006356E2"/>
    <w:rsid w:val="006362A8"/>
    <w:rsid w:val="00636354"/>
    <w:rsid w:val="00640543"/>
    <w:rsid w:val="006420D0"/>
    <w:rsid w:val="00643989"/>
    <w:rsid w:val="0065593F"/>
    <w:rsid w:val="00662041"/>
    <w:rsid w:val="00662049"/>
    <w:rsid w:val="0066654A"/>
    <w:rsid w:val="00674382"/>
    <w:rsid w:val="00682209"/>
    <w:rsid w:val="00685C7A"/>
    <w:rsid w:val="0068610D"/>
    <w:rsid w:val="00687E4D"/>
    <w:rsid w:val="00692A66"/>
    <w:rsid w:val="006A08DF"/>
    <w:rsid w:val="006A0A43"/>
    <w:rsid w:val="006A6CD3"/>
    <w:rsid w:val="006B241A"/>
    <w:rsid w:val="006C4BC7"/>
    <w:rsid w:val="006D035A"/>
    <w:rsid w:val="006D0B21"/>
    <w:rsid w:val="006E796D"/>
    <w:rsid w:val="006F1E35"/>
    <w:rsid w:val="006F58B0"/>
    <w:rsid w:val="006F66A8"/>
    <w:rsid w:val="006F7398"/>
    <w:rsid w:val="00701442"/>
    <w:rsid w:val="00703F7D"/>
    <w:rsid w:val="007078F8"/>
    <w:rsid w:val="00707D4F"/>
    <w:rsid w:val="00715C1A"/>
    <w:rsid w:val="00717A5F"/>
    <w:rsid w:val="00732657"/>
    <w:rsid w:val="007328D2"/>
    <w:rsid w:val="00733919"/>
    <w:rsid w:val="00747ADB"/>
    <w:rsid w:val="00753D7D"/>
    <w:rsid w:val="00753DFE"/>
    <w:rsid w:val="00754952"/>
    <w:rsid w:val="0076117B"/>
    <w:rsid w:val="007664D2"/>
    <w:rsid w:val="00766B07"/>
    <w:rsid w:val="00771E7E"/>
    <w:rsid w:val="00781A3B"/>
    <w:rsid w:val="007825B2"/>
    <w:rsid w:val="00784F34"/>
    <w:rsid w:val="00786F8A"/>
    <w:rsid w:val="00793EE7"/>
    <w:rsid w:val="007971B6"/>
    <w:rsid w:val="0079786C"/>
    <w:rsid w:val="007A12E1"/>
    <w:rsid w:val="007A3449"/>
    <w:rsid w:val="007B1B0A"/>
    <w:rsid w:val="007B1FE4"/>
    <w:rsid w:val="007C53A5"/>
    <w:rsid w:val="007C593F"/>
    <w:rsid w:val="007D5A20"/>
    <w:rsid w:val="007D741F"/>
    <w:rsid w:val="00801CB4"/>
    <w:rsid w:val="0080609F"/>
    <w:rsid w:val="00812B28"/>
    <w:rsid w:val="00812E01"/>
    <w:rsid w:val="0082248D"/>
    <w:rsid w:val="00822A07"/>
    <w:rsid w:val="008244B3"/>
    <w:rsid w:val="00826074"/>
    <w:rsid w:val="00830121"/>
    <w:rsid w:val="0083171F"/>
    <w:rsid w:val="00837702"/>
    <w:rsid w:val="00843BFF"/>
    <w:rsid w:val="008477B4"/>
    <w:rsid w:val="00847A2A"/>
    <w:rsid w:val="00847C4C"/>
    <w:rsid w:val="008627DC"/>
    <w:rsid w:val="00863170"/>
    <w:rsid w:val="00864F7E"/>
    <w:rsid w:val="008658ED"/>
    <w:rsid w:val="00866277"/>
    <w:rsid w:val="00866724"/>
    <w:rsid w:val="00867B4B"/>
    <w:rsid w:val="00870750"/>
    <w:rsid w:val="00872909"/>
    <w:rsid w:val="00883F76"/>
    <w:rsid w:val="00886078"/>
    <w:rsid w:val="008A17B2"/>
    <w:rsid w:val="008B18DC"/>
    <w:rsid w:val="008B1A88"/>
    <w:rsid w:val="008B71D8"/>
    <w:rsid w:val="008C5BCB"/>
    <w:rsid w:val="008C5E08"/>
    <w:rsid w:val="008E14D0"/>
    <w:rsid w:val="008E7CAC"/>
    <w:rsid w:val="008F24C8"/>
    <w:rsid w:val="008F386D"/>
    <w:rsid w:val="008F5D4B"/>
    <w:rsid w:val="008F7B07"/>
    <w:rsid w:val="00904965"/>
    <w:rsid w:val="00916215"/>
    <w:rsid w:val="00922628"/>
    <w:rsid w:val="009232AA"/>
    <w:rsid w:val="00923467"/>
    <w:rsid w:val="00932FA1"/>
    <w:rsid w:val="009330CA"/>
    <w:rsid w:val="00933BD4"/>
    <w:rsid w:val="00936D27"/>
    <w:rsid w:val="009414CC"/>
    <w:rsid w:val="009421B7"/>
    <w:rsid w:val="00942C19"/>
    <w:rsid w:val="009453A4"/>
    <w:rsid w:val="009503F1"/>
    <w:rsid w:val="00953C7A"/>
    <w:rsid w:val="00961574"/>
    <w:rsid w:val="0096261D"/>
    <w:rsid w:val="00966ED0"/>
    <w:rsid w:val="00974EB1"/>
    <w:rsid w:val="00980523"/>
    <w:rsid w:val="009821C0"/>
    <w:rsid w:val="0098246A"/>
    <w:rsid w:val="009826B3"/>
    <w:rsid w:val="0099240E"/>
    <w:rsid w:val="00994028"/>
    <w:rsid w:val="009950DD"/>
    <w:rsid w:val="00997319"/>
    <w:rsid w:val="009A44C9"/>
    <w:rsid w:val="009A5BE7"/>
    <w:rsid w:val="009B4D9D"/>
    <w:rsid w:val="009C2480"/>
    <w:rsid w:val="009C3B94"/>
    <w:rsid w:val="009C52D0"/>
    <w:rsid w:val="009D716A"/>
    <w:rsid w:val="009D76D5"/>
    <w:rsid w:val="009E675F"/>
    <w:rsid w:val="009F0886"/>
    <w:rsid w:val="009F2DE9"/>
    <w:rsid w:val="00A00831"/>
    <w:rsid w:val="00A02234"/>
    <w:rsid w:val="00A249CE"/>
    <w:rsid w:val="00A26ED0"/>
    <w:rsid w:val="00A27134"/>
    <w:rsid w:val="00A35ED8"/>
    <w:rsid w:val="00A435A0"/>
    <w:rsid w:val="00A50161"/>
    <w:rsid w:val="00A562C1"/>
    <w:rsid w:val="00A56D05"/>
    <w:rsid w:val="00A6058C"/>
    <w:rsid w:val="00A63C55"/>
    <w:rsid w:val="00A70FCB"/>
    <w:rsid w:val="00A711C5"/>
    <w:rsid w:val="00A752E4"/>
    <w:rsid w:val="00A762C7"/>
    <w:rsid w:val="00A8112A"/>
    <w:rsid w:val="00A84CFE"/>
    <w:rsid w:val="00A86A49"/>
    <w:rsid w:val="00A87846"/>
    <w:rsid w:val="00A907B9"/>
    <w:rsid w:val="00A975C4"/>
    <w:rsid w:val="00A97A4B"/>
    <w:rsid w:val="00AA3F76"/>
    <w:rsid w:val="00AB53EE"/>
    <w:rsid w:val="00AB7B0E"/>
    <w:rsid w:val="00AC0219"/>
    <w:rsid w:val="00AC178C"/>
    <w:rsid w:val="00AC1E72"/>
    <w:rsid w:val="00AC1EC4"/>
    <w:rsid w:val="00AC7C3D"/>
    <w:rsid w:val="00AD4EE3"/>
    <w:rsid w:val="00AE08A6"/>
    <w:rsid w:val="00AE0AC8"/>
    <w:rsid w:val="00AE1D6B"/>
    <w:rsid w:val="00AE2D29"/>
    <w:rsid w:val="00AE3C54"/>
    <w:rsid w:val="00AE5FF1"/>
    <w:rsid w:val="00AF5050"/>
    <w:rsid w:val="00AF6464"/>
    <w:rsid w:val="00AF7F7F"/>
    <w:rsid w:val="00B00ACD"/>
    <w:rsid w:val="00B01717"/>
    <w:rsid w:val="00B07E38"/>
    <w:rsid w:val="00B10176"/>
    <w:rsid w:val="00B1422C"/>
    <w:rsid w:val="00B15BAC"/>
    <w:rsid w:val="00B21E1A"/>
    <w:rsid w:val="00B26492"/>
    <w:rsid w:val="00B302D8"/>
    <w:rsid w:val="00B327A6"/>
    <w:rsid w:val="00B3546C"/>
    <w:rsid w:val="00B40544"/>
    <w:rsid w:val="00B509B7"/>
    <w:rsid w:val="00B533F9"/>
    <w:rsid w:val="00B579B9"/>
    <w:rsid w:val="00B66789"/>
    <w:rsid w:val="00B71587"/>
    <w:rsid w:val="00B74C96"/>
    <w:rsid w:val="00B81C58"/>
    <w:rsid w:val="00B82638"/>
    <w:rsid w:val="00B833D3"/>
    <w:rsid w:val="00B83A81"/>
    <w:rsid w:val="00BA42F9"/>
    <w:rsid w:val="00BA4A68"/>
    <w:rsid w:val="00BA54E9"/>
    <w:rsid w:val="00BB0C10"/>
    <w:rsid w:val="00BB3990"/>
    <w:rsid w:val="00BB45EE"/>
    <w:rsid w:val="00BC12A1"/>
    <w:rsid w:val="00BC13C6"/>
    <w:rsid w:val="00BC2A0A"/>
    <w:rsid w:val="00BD2462"/>
    <w:rsid w:val="00BD282E"/>
    <w:rsid w:val="00BD5D4B"/>
    <w:rsid w:val="00BE0BD2"/>
    <w:rsid w:val="00BE0C04"/>
    <w:rsid w:val="00BE2ED5"/>
    <w:rsid w:val="00BE632D"/>
    <w:rsid w:val="00BE7D6D"/>
    <w:rsid w:val="00BF160D"/>
    <w:rsid w:val="00BF526A"/>
    <w:rsid w:val="00BF7AC2"/>
    <w:rsid w:val="00C00EE3"/>
    <w:rsid w:val="00C01C00"/>
    <w:rsid w:val="00C11F50"/>
    <w:rsid w:val="00C13151"/>
    <w:rsid w:val="00C15746"/>
    <w:rsid w:val="00C17957"/>
    <w:rsid w:val="00C219EF"/>
    <w:rsid w:val="00C24F66"/>
    <w:rsid w:val="00C25BA0"/>
    <w:rsid w:val="00C266BE"/>
    <w:rsid w:val="00C31153"/>
    <w:rsid w:val="00C36815"/>
    <w:rsid w:val="00C41366"/>
    <w:rsid w:val="00C42441"/>
    <w:rsid w:val="00C43D9B"/>
    <w:rsid w:val="00C46B8E"/>
    <w:rsid w:val="00C4736A"/>
    <w:rsid w:val="00C549DA"/>
    <w:rsid w:val="00C5792D"/>
    <w:rsid w:val="00C57F08"/>
    <w:rsid w:val="00C658F9"/>
    <w:rsid w:val="00C73CEA"/>
    <w:rsid w:val="00C76B88"/>
    <w:rsid w:val="00C83216"/>
    <w:rsid w:val="00C83F19"/>
    <w:rsid w:val="00C83FC7"/>
    <w:rsid w:val="00C85B1A"/>
    <w:rsid w:val="00C91B7E"/>
    <w:rsid w:val="00C94970"/>
    <w:rsid w:val="00C95473"/>
    <w:rsid w:val="00CA090E"/>
    <w:rsid w:val="00CA1B26"/>
    <w:rsid w:val="00CA5466"/>
    <w:rsid w:val="00CC53DD"/>
    <w:rsid w:val="00CC6841"/>
    <w:rsid w:val="00CD73B5"/>
    <w:rsid w:val="00CD7D78"/>
    <w:rsid w:val="00CE0BFA"/>
    <w:rsid w:val="00CE5E3B"/>
    <w:rsid w:val="00CE7EA2"/>
    <w:rsid w:val="00CF31B3"/>
    <w:rsid w:val="00D00AAF"/>
    <w:rsid w:val="00D02994"/>
    <w:rsid w:val="00D0327A"/>
    <w:rsid w:val="00D142F8"/>
    <w:rsid w:val="00D2105C"/>
    <w:rsid w:val="00D21BF4"/>
    <w:rsid w:val="00D21DD1"/>
    <w:rsid w:val="00D303F5"/>
    <w:rsid w:val="00D30DEF"/>
    <w:rsid w:val="00D30E8E"/>
    <w:rsid w:val="00D30F16"/>
    <w:rsid w:val="00D31C50"/>
    <w:rsid w:val="00D333EB"/>
    <w:rsid w:val="00D34F81"/>
    <w:rsid w:val="00D36C4E"/>
    <w:rsid w:val="00D376D8"/>
    <w:rsid w:val="00D37CC1"/>
    <w:rsid w:val="00D40927"/>
    <w:rsid w:val="00D45EF9"/>
    <w:rsid w:val="00D46290"/>
    <w:rsid w:val="00D4705C"/>
    <w:rsid w:val="00D52035"/>
    <w:rsid w:val="00D52B69"/>
    <w:rsid w:val="00D56BA5"/>
    <w:rsid w:val="00D572E4"/>
    <w:rsid w:val="00D57FA0"/>
    <w:rsid w:val="00D62980"/>
    <w:rsid w:val="00D65662"/>
    <w:rsid w:val="00D7334D"/>
    <w:rsid w:val="00D75D34"/>
    <w:rsid w:val="00D950A9"/>
    <w:rsid w:val="00D95DF6"/>
    <w:rsid w:val="00D96883"/>
    <w:rsid w:val="00DA5D78"/>
    <w:rsid w:val="00DB1B8E"/>
    <w:rsid w:val="00DB2A15"/>
    <w:rsid w:val="00DB5EA8"/>
    <w:rsid w:val="00DC1AF0"/>
    <w:rsid w:val="00DC5D87"/>
    <w:rsid w:val="00DC7C9D"/>
    <w:rsid w:val="00DC7CF1"/>
    <w:rsid w:val="00DD25FA"/>
    <w:rsid w:val="00DE201C"/>
    <w:rsid w:val="00DE4B3F"/>
    <w:rsid w:val="00DE6417"/>
    <w:rsid w:val="00E019B9"/>
    <w:rsid w:val="00E031AE"/>
    <w:rsid w:val="00E03597"/>
    <w:rsid w:val="00E05789"/>
    <w:rsid w:val="00E1097D"/>
    <w:rsid w:val="00E135A4"/>
    <w:rsid w:val="00E1453D"/>
    <w:rsid w:val="00E17C9D"/>
    <w:rsid w:val="00E21E7B"/>
    <w:rsid w:val="00E22266"/>
    <w:rsid w:val="00E23B33"/>
    <w:rsid w:val="00E2516E"/>
    <w:rsid w:val="00E264AA"/>
    <w:rsid w:val="00E31E83"/>
    <w:rsid w:val="00E35043"/>
    <w:rsid w:val="00E37ED5"/>
    <w:rsid w:val="00E41C4D"/>
    <w:rsid w:val="00E44DDA"/>
    <w:rsid w:val="00E45A8E"/>
    <w:rsid w:val="00E53694"/>
    <w:rsid w:val="00E5404E"/>
    <w:rsid w:val="00E601D0"/>
    <w:rsid w:val="00E61936"/>
    <w:rsid w:val="00E622DE"/>
    <w:rsid w:val="00E65FF1"/>
    <w:rsid w:val="00E67065"/>
    <w:rsid w:val="00E67D0E"/>
    <w:rsid w:val="00E76886"/>
    <w:rsid w:val="00E77B5F"/>
    <w:rsid w:val="00E81513"/>
    <w:rsid w:val="00E81967"/>
    <w:rsid w:val="00E82070"/>
    <w:rsid w:val="00E84E00"/>
    <w:rsid w:val="00E852DD"/>
    <w:rsid w:val="00E86407"/>
    <w:rsid w:val="00EA01D2"/>
    <w:rsid w:val="00EA3BE2"/>
    <w:rsid w:val="00EA40AE"/>
    <w:rsid w:val="00EA46B6"/>
    <w:rsid w:val="00EB2EAC"/>
    <w:rsid w:val="00EB3CAA"/>
    <w:rsid w:val="00EB4754"/>
    <w:rsid w:val="00EB5B84"/>
    <w:rsid w:val="00EB71F1"/>
    <w:rsid w:val="00ED34CA"/>
    <w:rsid w:val="00EE7D10"/>
    <w:rsid w:val="00EF104F"/>
    <w:rsid w:val="00F00A12"/>
    <w:rsid w:val="00F069E1"/>
    <w:rsid w:val="00F10206"/>
    <w:rsid w:val="00F149EC"/>
    <w:rsid w:val="00F14EEC"/>
    <w:rsid w:val="00F2240D"/>
    <w:rsid w:val="00F22535"/>
    <w:rsid w:val="00F233D6"/>
    <w:rsid w:val="00F261EC"/>
    <w:rsid w:val="00F3548C"/>
    <w:rsid w:val="00F36D3E"/>
    <w:rsid w:val="00F458B4"/>
    <w:rsid w:val="00F51148"/>
    <w:rsid w:val="00F536FD"/>
    <w:rsid w:val="00F54AF2"/>
    <w:rsid w:val="00F646BE"/>
    <w:rsid w:val="00F755E4"/>
    <w:rsid w:val="00F861D7"/>
    <w:rsid w:val="00F91A06"/>
    <w:rsid w:val="00FA2534"/>
    <w:rsid w:val="00FA43BB"/>
    <w:rsid w:val="00FB026E"/>
    <w:rsid w:val="00FB2F21"/>
    <w:rsid w:val="00FB75D6"/>
    <w:rsid w:val="00FB7672"/>
    <w:rsid w:val="00FC1D01"/>
    <w:rsid w:val="00FC37AB"/>
    <w:rsid w:val="00FC5579"/>
    <w:rsid w:val="00FD00B1"/>
    <w:rsid w:val="00FD04C2"/>
    <w:rsid w:val="00FD5F3E"/>
    <w:rsid w:val="00FD6A77"/>
    <w:rsid w:val="00FE722F"/>
    <w:rsid w:val="00FF1A98"/>
    <w:rsid w:val="00FF3C9C"/>
    <w:rsid w:val="50FEE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EEE5A53F-4DF5-4CE0-8D8A-3457C7332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D6"/>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customStyle="1" w:styleId="QuoteChar">
    <w:name w:val="Quote Char"/>
    <w:basedOn w:val="DefaultParagraphFont"/>
    <w:link w:val="Quote"/>
    <w:uiPriority w:val="29"/>
    <w:rsid w:val="00245EB5"/>
    <w:rPr>
      <w:i/>
      <w:iCs/>
      <w:color w:val="404040" w:themeColor="text1" w:themeTint="BF"/>
    </w:rPr>
  </w:style>
  <w:style w:type="paragraph" w:styleId="ListParagraph">
    <w:name w:val="List Paragraph"/>
    <w:aliases w:val="Bullet List,FooterText,List Paragraph1,numbered,Paragraphe de liste1,Bulletr List Paragraph,列出段落,列出段落1,List Paragraph2,List Paragraph21,Listeafsnit1,Parágrafo da Lista1,Párrafo de lista1,リスト段落1,List Paragraph11,Listenabsatz1,Bullet list,F"/>
    <w:basedOn w:val="Normal"/>
    <w:link w:val="ListParagraphChar"/>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customStyle="1" w:styleId="normaltextrun">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customStyle="1" w:styleId="CommentTextChar">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customStyle="1" w:styleId="CommentSubjectChar">
    <w:name w:val="Comment Subject Char"/>
    <w:basedOn w:val="CommentTextChar"/>
    <w:link w:val="CommentSubject"/>
    <w:uiPriority w:val="99"/>
    <w:semiHidden/>
    <w:rsid w:val="00E67065"/>
    <w:rPr>
      <w:b/>
      <w:bCs/>
      <w:sz w:val="20"/>
      <w:szCs w:val="20"/>
    </w:rPr>
  </w:style>
  <w:style w:type="paragraph" w:styleId="NormalWeb">
    <w:name w:val="Normal (Web)"/>
    <w:basedOn w:val="Normal"/>
    <w:uiPriority w:val="99"/>
    <w:semiHidden/>
    <w:unhideWhenUsed/>
    <w:rsid w:val="00B579B9"/>
    <w:rPr>
      <w:rFonts w:ascii="Times New Roman" w:hAnsi="Times New Roman" w:cs="Times New Roman"/>
    </w:rPr>
  </w:style>
  <w:style w:type="character" w:styleId="Mention">
    <w:name w:val="Mention"/>
    <w:basedOn w:val="DefaultParagraphFont"/>
    <w:uiPriority w:val="99"/>
    <w:unhideWhenUsed/>
    <w:rsid w:val="00C15746"/>
    <w:rPr>
      <w:color w:val="2B579A"/>
      <w:shd w:val="clear" w:color="auto" w:fill="E1DFDD"/>
    </w:r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List Paragraph21 Char,Listeafsnit1 Char,Parágrafo da Lista1 Char"/>
    <w:basedOn w:val="DefaultParagraphFont"/>
    <w:link w:val="ListParagraph"/>
    <w:uiPriority w:val="34"/>
    <w:locked/>
    <w:rsid w:val="00916215"/>
  </w:style>
  <w:style w:type="paragraph" w:styleId="Revision">
    <w:name w:val="Revision"/>
    <w:hidden/>
    <w:uiPriority w:val="99"/>
    <w:semiHidden/>
    <w:rsid w:val="00486B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usinesswire.com/news/home/20231116347732/en/Almirall-Receives-European-Commission-Approval-of-EBGLYSS%C2%AE-lebrikizumab-for-Moderate-to-Severe-Atopic-Dermatitis" TargetMode="External"/><Relationship Id="rId18" Type="http://schemas.openxmlformats.org/officeDocument/2006/relationships/hyperlink" Target="https://www.ema.europa.eu/en/medicines/human/EPAR/dupixent" TargetMode="External"/><Relationship Id="rId26" Type="http://schemas.openxmlformats.org/officeDocument/2006/relationships/hyperlink" Target="mailto:priti.anand@abbvie.com" TargetMode="External"/><Relationship Id="rId3" Type="http://schemas.openxmlformats.org/officeDocument/2006/relationships/customXml" Target="../customXml/item3.xml"/><Relationship Id="rId21" Type="http://schemas.openxmlformats.org/officeDocument/2006/relationships/hyperlink" Target="https://clinicaltrials.gov/study/NCT05559359" TargetMode="External"/><Relationship Id="rId7" Type="http://schemas.openxmlformats.org/officeDocument/2006/relationships/webSettings" Target="webSettings.xml"/><Relationship Id="rId12" Type="http://schemas.openxmlformats.org/officeDocument/2006/relationships/hyperlink" Target="https://clinicaltrials.gov/study/NCT05735483" TargetMode="External"/><Relationship Id="rId17" Type="http://schemas.openxmlformats.org/officeDocument/2006/relationships/hyperlink" Target="https://www.regeneron.com/downloads/dupixent_fpi.pdf" TargetMode="External"/><Relationship Id="rId25" Type="http://schemas.openxmlformats.org/officeDocument/2006/relationships/hyperlink" Target="mailto:luke.versten@abbvie.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nvestor.lilly.com/news-releases/news-release-details/fda-approves-lillys-ebglysstm-lebrikizumab-lbkz-adults-and" TargetMode="External"/><Relationship Id="rId20" Type="http://schemas.openxmlformats.org/officeDocument/2006/relationships/image" Target="media/image2.png"/><Relationship Id="rId29"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5559359" TargetMode="External"/><Relationship Id="rId24" Type="http://schemas.openxmlformats.org/officeDocument/2006/relationships/hyperlink" Target="mailto:bethany.christmann@abbvie.com"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newswire.ca/news-releases/health-canada-authorizes-lilly-s-ebglyss-tm-lebrikizumab-for-the-treatment-of-moderate-to-severe-atopic-dermatitis-in-adults-and-adolescents-12-years-and-older-833722064.html" TargetMode="External"/><Relationship Id="rId23" Type="http://schemas.openxmlformats.org/officeDocument/2006/relationships/hyperlink" Target="mailto:chanda.bhat@abbvie.com" TargetMode="External"/><Relationship Id="rId28" Type="http://schemas.openxmlformats.org/officeDocument/2006/relationships/hyperlink" Target="mailto:priti.anand@abbvie.com" TargetMode="External"/><Relationship Id="rId10" Type="http://schemas.openxmlformats.org/officeDocument/2006/relationships/hyperlink" Target="https://clinicaltrials.gov/study/NCT05559359" TargetMode="External"/><Relationship Id="rId19" Type="http://schemas.openxmlformats.org/officeDocument/2006/relationships/hyperlink" Target="https://clinicaltrials.gov/study/NCT05559359" TargetMode="External"/><Relationship Id="rId31"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4" Type="http://schemas.openxmlformats.org/officeDocument/2006/relationships/numbering" Target="numbering.xml"/><Relationship Id="rId9" Type="http://schemas.openxmlformats.org/officeDocument/2006/relationships/hyperlink" Target="https://investor.lilly.com/news-releases/news-release-details/lillys-ebglyss-lebrikizumab-lbkz-first-and-only-selective-il-13" TargetMode="External"/><Relationship Id="rId14" Type="http://schemas.openxmlformats.org/officeDocument/2006/relationships/hyperlink" Target="https://www.pmda.go.jp/files/000269225.pdf" TargetMode="External"/><Relationship Id="rId22" Type="http://schemas.openxmlformats.org/officeDocument/2006/relationships/hyperlink" Target="https://clinicaltrials.gov/study/NCT05735483" TargetMode="External"/><Relationship Id="rId27" Type="http://schemas.openxmlformats.org/officeDocument/2006/relationships/hyperlink" Target="mailto:irene.knorn@abbvie.com" TargetMode="External"/><Relationship Id="rId30"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1198120-CCE0-42B2-BCBB-5730D974C4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05D8F7-73C1-41A5-939A-170D5D14BFAE}">
  <ds:schemaRefs>
    <ds:schemaRef ds:uri="http://schemas.microsoft.com/sharepoint/v3/contenttype/forms"/>
  </ds:schemaRefs>
</ds:datastoreItem>
</file>

<file path=customXml/itemProps3.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043e1017-c5a4-4201-a35d-9d1168f65886"/>
    <ds:schemaRef ds:uri="0f920774-ee3d-4dd0-a2c2-211158b06580"/>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1</Pages>
  <Words>1065</Words>
  <Characters>6072</Characters>
  <Application>Microsoft Office Word</Application>
  <DocSecurity>4</DocSecurity>
  <Lines>50</Lines>
  <Paragraphs>14</Paragraphs>
  <ScaleCrop>false</ScaleCrop>
  <Company>Abbvie</Company>
  <LinksUpToDate>false</LinksUpToDate>
  <CharactersWithSpaces>7123</CharactersWithSpaces>
  <SharedDoc>false</SharedDoc>
  <HLinks>
    <vt:vector size="132" baseType="variant">
      <vt:variant>
        <vt:i4>589939</vt:i4>
      </vt:variant>
      <vt:variant>
        <vt:i4>63</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60</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57</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54</vt:i4>
      </vt:variant>
      <vt:variant>
        <vt:i4>0</vt:i4>
      </vt:variant>
      <vt:variant>
        <vt:i4>5</vt:i4>
      </vt:variant>
      <vt:variant>
        <vt:lpwstr>mailto:priti.anand@abbvie.com</vt:lpwstr>
      </vt:variant>
      <vt:variant>
        <vt:lpwstr/>
      </vt:variant>
      <vt:variant>
        <vt:i4>4849718</vt:i4>
      </vt:variant>
      <vt:variant>
        <vt:i4>51</vt:i4>
      </vt:variant>
      <vt:variant>
        <vt:i4>0</vt:i4>
      </vt:variant>
      <vt:variant>
        <vt:i4>5</vt:i4>
      </vt:variant>
      <vt:variant>
        <vt:lpwstr>mailto:irene.knorn@abbvie.com</vt:lpwstr>
      </vt:variant>
      <vt:variant>
        <vt:lpwstr/>
      </vt:variant>
      <vt:variant>
        <vt:i4>6094896</vt:i4>
      </vt:variant>
      <vt:variant>
        <vt:i4>48</vt:i4>
      </vt:variant>
      <vt:variant>
        <vt:i4>0</vt:i4>
      </vt:variant>
      <vt:variant>
        <vt:i4>5</vt:i4>
      </vt:variant>
      <vt:variant>
        <vt:lpwstr>mailto:priti.anand@abbvie.com</vt:lpwstr>
      </vt:variant>
      <vt:variant>
        <vt:lpwstr/>
      </vt:variant>
      <vt:variant>
        <vt:i4>458863</vt:i4>
      </vt:variant>
      <vt:variant>
        <vt:i4>45</vt:i4>
      </vt:variant>
      <vt:variant>
        <vt:i4>0</vt:i4>
      </vt:variant>
      <vt:variant>
        <vt:i4>5</vt:i4>
      </vt:variant>
      <vt:variant>
        <vt:lpwstr>mailto:luke.versten@abbvie.com</vt:lpwstr>
      </vt:variant>
      <vt:variant>
        <vt:lpwstr/>
      </vt:variant>
      <vt:variant>
        <vt:i4>3276886</vt:i4>
      </vt:variant>
      <vt:variant>
        <vt:i4>42</vt:i4>
      </vt:variant>
      <vt:variant>
        <vt:i4>0</vt:i4>
      </vt:variant>
      <vt:variant>
        <vt:i4>5</vt:i4>
      </vt:variant>
      <vt:variant>
        <vt:lpwstr>mailto:bethany.christmann@abbvie.com</vt:lpwstr>
      </vt:variant>
      <vt:variant>
        <vt:lpwstr/>
      </vt:variant>
      <vt:variant>
        <vt:i4>1900668</vt:i4>
      </vt:variant>
      <vt:variant>
        <vt:i4>39</vt:i4>
      </vt:variant>
      <vt:variant>
        <vt:i4>0</vt:i4>
      </vt:variant>
      <vt:variant>
        <vt:i4>5</vt:i4>
      </vt:variant>
      <vt:variant>
        <vt:lpwstr>mailto:chanda.bhat@abbvie.com</vt:lpwstr>
      </vt:variant>
      <vt:variant>
        <vt:lpwstr/>
      </vt:variant>
      <vt:variant>
        <vt:i4>589835</vt:i4>
      </vt:variant>
      <vt:variant>
        <vt:i4>36</vt:i4>
      </vt:variant>
      <vt:variant>
        <vt:i4>0</vt:i4>
      </vt:variant>
      <vt:variant>
        <vt:i4>5</vt:i4>
      </vt:variant>
      <vt:variant>
        <vt:lpwstr>https://clinicaltrials.gov/study/NCT05735483</vt:lpwstr>
      </vt:variant>
      <vt:variant>
        <vt:lpwstr/>
      </vt:variant>
      <vt:variant>
        <vt:i4>131080</vt:i4>
      </vt:variant>
      <vt:variant>
        <vt:i4>33</vt:i4>
      </vt:variant>
      <vt:variant>
        <vt:i4>0</vt:i4>
      </vt:variant>
      <vt:variant>
        <vt:i4>5</vt:i4>
      </vt:variant>
      <vt:variant>
        <vt:lpwstr>https://clinicaltrials.gov/study/NCT05559359</vt:lpwstr>
      </vt:variant>
      <vt:variant>
        <vt:lpwstr/>
      </vt:variant>
      <vt:variant>
        <vt:i4>131080</vt:i4>
      </vt:variant>
      <vt:variant>
        <vt:i4>30</vt:i4>
      </vt:variant>
      <vt:variant>
        <vt:i4>0</vt:i4>
      </vt:variant>
      <vt:variant>
        <vt:i4>5</vt:i4>
      </vt:variant>
      <vt:variant>
        <vt:lpwstr>https://clinicaltrials.gov/study/NCT05559359</vt:lpwstr>
      </vt:variant>
      <vt:variant>
        <vt:lpwstr/>
      </vt:variant>
      <vt:variant>
        <vt:i4>7208998</vt:i4>
      </vt:variant>
      <vt:variant>
        <vt:i4>27</vt:i4>
      </vt:variant>
      <vt:variant>
        <vt:i4>0</vt:i4>
      </vt:variant>
      <vt:variant>
        <vt:i4>5</vt:i4>
      </vt:variant>
      <vt:variant>
        <vt:lpwstr>https://www.ema.europa.eu/en/medicines/human/EPAR/dupixent</vt:lpwstr>
      </vt:variant>
      <vt:variant>
        <vt:lpwstr/>
      </vt:variant>
      <vt:variant>
        <vt:i4>1900579</vt:i4>
      </vt:variant>
      <vt:variant>
        <vt:i4>24</vt:i4>
      </vt:variant>
      <vt:variant>
        <vt:i4>0</vt:i4>
      </vt:variant>
      <vt:variant>
        <vt:i4>5</vt:i4>
      </vt:variant>
      <vt:variant>
        <vt:lpwstr>https://www.regeneron.com/downloads/dupixent_fpi.pdf</vt:lpwstr>
      </vt:variant>
      <vt:variant>
        <vt:lpwstr/>
      </vt:variant>
      <vt:variant>
        <vt:i4>1114125</vt:i4>
      </vt:variant>
      <vt:variant>
        <vt:i4>21</vt:i4>
      </vt:variant>
      <vt:variant>
        <vt:i4>0</vt:i4>
      </vt:variant>
      <vt:variant>
        <vt:i4>5</vt:i4>
      </vt:variant>
      <vt:variant>
        <vt:lpwstr>https://investor.lilly.com/news-releases/news-release-details/fda-approves-lillys-ebglysstm-lebrikizumab-lbkz-adults-and</vt:lpwstr>
      </vt:variant>
      <vt:variant>
        <vt:lpwstr/>
      </vt:variant>
      <vt:variant>
        <vt:i4>4456462</vt:i4>
      </vt:variant>
      <vt:variant>
        <vt:i4>18</vt:i4>
      </vt:variant>
      <vt:variant>
        <vt:i4>0</vt:i4>
      </vt:variant>
      <vt:variant>
        <vt:i4>5</vt:i4>
      </vt:variant>
      <vt:variant>
        <vt:lpwstr>https://www.newswire.ca/news-releases/health-canada-authorizes-lilly-s-ebglyss-tm-lebrikizumab-for-the-treatment-of-moderate-to-severe-atopic-dermatitis-in-adults-and-adolescents-12-years-and-older-833722064.html</vt:lpwstr>
      </vt:variant>
      <vt:variant>
        <vt:lpwstr/>
      </vt:variant>
      <vt:variant>
        <vt:i4>2293808</vt:i4>
      </vt:variant>
      <vt:variant>
        <vt:i4>15</vt:i4>
      </vt:variant>
      <vt:variant>
        <vt:i4>0</vt:i4>
      </vt:variant>
      <vt:variant>
        <vt:i4>5</vt:i4>
      </vt:variant>
      <vt:variant>
        <vt:lpwstr>https://www.pmda.go.jp/files/000269225.pdf</vt:lpwstr>
      </vt:variant>
      <vt:variant>
        <vt:lpwstr/>
      </vt:variant>
      <vt:variant>
        <vt:i4>6553725</vt:i4>
      </vt:variant>
      <vt:variant>
        <vt:i4>12</vt:i4>
      </vt:variant>
      <vt:variant>
        <vt:i4>0</vt:i4>
      </vt:variant>
      <vt:variant>
        <vt:i4>5</vt:i4>
      </vt:variant>
      <vt:variant>
        <vt:lpwstr>https://www.businesswire.com/news/home/20231116347732/en/Almirall-Receives-European-Commission-Approval-of-EBGLYSS%C2%AE-lebrikizumab-for-Moderate-to-Severe-Atopic-Dermatitis</vt:lpwstr>
      </vt:variant>
      <vt:variant>
        <vt:lpwstr/>
      </vt:variant>
      <vt:variant>
        <vt:i4>589835</vt:i4>
      </vt:variant>
      <vt:variant>
        <vt:i4>9</vt:i4>
      </vt:variant>
      <vt:variant>
        <vt:i4>0</vt:i4>
      </vt:variant>
      <vt:variant>
        <vt:i4>5</vt:i4>
      </vt:variant>
      <vt:variant>
        <vt:lpwstr>https://clinicaltrials.gov/study/NCT05735483</vt:lpwstr>
      </vt:variant>
      <vt:variant>
        <vt:lpwstr/>
      </vt:variant>
      <vt:variant>
        <vt:i4>131080</vt:i4>
      </vt:variant>
      <vt:variant>
        <vt:i4>6</vt:i4>
      </vt:variant>
      <vt:variant>
        <vt:i4>0</vt:i4>
      </vt:variant>
      <vt:variant>
        <vt:i4>5</vt:i4>
      </vt:variant>
      <vt:variant>
        <vt:lpwstr>https://clinicaltrials.gov/study/NCT05559359</vt:lpwstr>
      </vt:variant>
      <vt:variant>
        <vt:lpwstr/>
      </vt:variant>
      <vt:variant>
        <vt:i4>131080</vt:i4>
      </vt:variant>
      <vt:variant>
        <vt:i4>3</vt:i4>
      </vt:variant>
      <vt:variant>
        <vt:i4>0</vt:i4>
      </vt:variant>
      <vt:variant>
        <vt:i4>5</vt:i4>
      </vt:variant>
      <vt:variant>
        <vt:lpwstr>https://clinicaltrials.gov/study/NCT05559359</vt:lpwstr>
      </vt:variant>
      <vt:variant>
        <vt:lpwstr/>
      </vt:variant>
      <vt:variant>
        <vt:i4>1704019</vt:i4>
      </vt:variant>
      <vt:variant>
        <vt:i4>0</vt:i4>
      </vt:variant>
      <vt:variant>
        <vt:i4>0</vt:i4>
      </vt:variant>
      <vt:variant>
        <vt:i4>5</vt:i4>
      </vt:variant>
      <vt:variant>
        <vt:lpwstr>https://investor.lilly.com/news-releases/news-release-details/lillys-ebglyss-lebrikizumab-lbkz-first-and-only-selective-il-13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Christmann, Bethany</dc:creator>
  <cp:keywords/>
  <dc:description/>
  <cp:lastModifiedBy>Julia Duque</cp:lastModifiedBy>
  <cp:revision>339</cp:revision>
  <dcterms:created xsi:type="dcterms:W3CDTF">2026-03-07T04:35:00Z</dcterms:created>
  <dcterms:modified xsi:type="dcterms:W3CDTF">2026-03-16T14:50:00Z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