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TITLE: FDA Grants Priority Review to PADCEV + Keytruda for Muscle-Invasive Bladder Cancer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COMPANY: Pfizer (in partnership with Astellas Pharma and Merck)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DATE: April 20, 2026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FDA granted Priority Review to supplemental Biologics License Application (sBLA) for PADCEV™ (enfortumab vedotin-ejfv) plus KEYTRUDA® (pembrolizumab) as perioperative treatment for muscle-invasive bladder cancer (MIBC) regardless of cisplatin eligibility status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milestone expands indication from previously approved cisplatin-ineligible population to include cisplatin-eligible patients, significantly broadening the addressable market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Review designation indicates FDA recognition of clinical significance with expected decision within 6 months (approximately October 2026) versus standard 10-month review period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sBLA submission supported by robust Phase 3 clinical trial data demonstrating superior efficacy and safety compared to surgery alone and cisplatin-based alternatives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IMPACT (CI PoV): High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Competitive Threat to Bristol Myers Squibb: Opdivo projected to lose 50% market share (declining from 20-25% to 10-15%) as PADCEV-Keytruda combination captures 60-70% of cisplatin-eligible MIBC market within 3-5 years post-approval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First-Mover Advantage: Only regimen demonstrating overall survival benefit without platinum-based chemotherapy creates substantial barrier to entry for competitors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 Sales Potential: Analysts project $2-3 billion in annual peak sales for perioperative MIBC indication alone, with near-complete market capture in cisplatin-ineligible population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Alliance Strength: Pfizer-Astellas-Merck partnership creates formidable competitive bloc with established infrastructure, regulatory relationships, and complementary expertise in oncology and urology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Paradigm Shift in Standard-of-Care: Represents fundamental change from cisplatin-based neoadjuvant chemotherapy (NAC) to platinum-free immunotherapy combination for perioperative MIBC management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Addresses Critical Unmet Need: Provides first effective systemic therapy option for 30-40% of MIBC patients who are cisplatin-ineligible due to renal impairment (eGFR &lt;60 mL/min), poor performance status (ECOG ≥2), or significant comorbidities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Strengthens Merck's Immuno-Oncology Dominance: Validates Keytruda's role in combination therapies; Keytruda market projected to grow from $26.05 billion (2026) to $36.32 billion (2030) at 8.7% CAGR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ADC-Immunotherapy Strategy: Success of Nectin-4-targeted ADC combined with PD-1 inhibitor may influence future oncology development approaches and combination strategies across therapeutic areas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TELL ME MORE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 of Action: PADCEV is an antibody-drug conjugate targeting Nectin-4 protein on urothelial cancer cells; KEYTRUDA is PD-1 inhibitor enhancing immune response; combination provides dual-mechanism synergy eliminating platinum toxicities while broadening patient eligibility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Evidence - EV-303/KEYNOTE-905 Trial (Cisplatin-Ineligible): Demonstrated 60% reduction in disease recurrence/progression/death risk; 50% reduction in overall mortality; median event-free survival not reached versus surgery alone; 2-year overall survival 79.7%; significantly improved pathologic complete response rates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Evidence - EV-304 Trial (Cisplatin-Eligible): Demonstrated 35% reduced death risk with perioperative enfortumab vedotin plus pembrolizumab; overall survival as key secondary endpoint showing meaningful clinical benefit; event-free survival improvements comparable to cisplatin-ineligible cohort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Timeline: Previous FDA approvals November 2025 for both cisplatin-ineligible and cisplatin-eligible MIBC (IV and SC formulations); Japan supplemental NDA submitted January 30, 2026; Europe and Canada regulatory pathways under development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Near-Term Catalysts (2026-2027): Monitor FDA approval decision expected October 2026; track international regulatory approvals in Japan, Europe, and Canada; anticipate potential label expansions to metastatic disease and adjuvant-only settings; expect real-world evidence generation and health economics studies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Competitive Response Monitoring: Watch for Bristol Myers Squibb strategic repositioning of Opdivo-based regimens; assess potential combination innovations from competitors; evaluate niche positioning strategies in specific patient subpopulations (e.g., PD-L1 negative patients)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Adoption Risks: Monitor payer coverage decisions and pricing negotiations given cost-effectiveness concerns (combination therapy requires 78% price reduction to achieve ICER below $50,000 per QALY); track patient assistance program effectiveness; assess adoption velocity in resource-limited settings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Expansion Opportunities: Evaluate potential use in non-muscle-invasive bladder cancer (NMIBC); assess biomarker-driven patient selection strategies; monitor Pfizer's investigational agents (Sasanlimab for NMIBC, PF-08052667 with BCG); track combination approaches with additional agents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Pfizer Press Release - FDA Priority Review Designation: https://www.pfizer.com/news/press-release/press-release-detail/us-fda-grants-priority-review-sbla-padcevtm-keytrudar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EV-303/KEYNOTE-905 Phase 3 Clinical Trial Data - Cisplatin-Ineligible MIBC Population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EV-304 Phase 3 Clinical Trial Data - Cisplatin-Eligible MIBC Population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Market Analysis: Keytruda Market Valuation and Projections (2026-2030) - USD 26.05 billion to USD 36.32 billion at 8.7% CAGR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Market Analysis: Pembrolizumab Market Forecasts (2026-2034) - USD 33.10 billion to USD 41.10 billion at 2.74% CAGR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GlobalData Competitive Intelligence - Bladder Cancer Market Dynamics and PADCEV-Keytruda Market Share Projections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European Association of Urology (EAU) 2026 Conference Presentations - Surgical Outcomes Data from KEYNOTE-905/EV-303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Bristol Myers Squibb Opdivo Clinical Data - CheckMate-901 and CheckMate-274 Trials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9. Pharmacoeconomic Analysis - Cost-Effectiveness Modeling and ICER Projections for Combination Therapy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Regulatory Intelligence - FDA Priority Review Designation Criteria and Timeline Standards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6k9/Nb6/z4Ez3ikNFm83EKVbQ==">CgMxLjA4AHIhMTRmcENaYUNKaWpsay0yVlE3ZEhIeDZoQ1FKR0pwOGRH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