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DC5" w:rsidRDefault="00507DC5" w:rsidP="00507DC5">
      <w:pPr>
        <w:pStyle w:val="Heading2"/>
      </w:pPr>
      <w:r>
        <w:t xml:space="preserve">Company: Eli Lilly </w:t>
      </w:r>
    </w:p>
    <w:p w:rsidR="00507DC5" w:rsidRPr="00507DC5" w:rsidRDefault="00507DC5" w:rsidP="00507DC5">
      <w:pPr>
        <w:pStyle w:val="Heading2"/>
      </w:pPr>
      <w:r>
        <w:t>Drug:</w:t>
      </w:r>
      <w:r w:rsidR="008D0477" w:rsidRPr="008D0477">
        <w:t xml:space="preserve"> </w:t>
      </w:r>
      <w:r w:rsidR="008D0477" w:rsidRPr="008D0477">
        <w:t>Jaypirca (pirtobrutinib; ncBTKi)</w:t>
      </w:r>
    </w:p>
    <w:p w:rsidR="00131D9C" w:rsidRDefault="00000000">
      <w:pPr>
        <w:pStyle w:val="Heading2"/>
      </w:pPr>
      <w:r>
        <w:t>D</w:t>
      </w:r>
      <w:r w:rsidR="00507DC5">
        <w:t>ate</w:t>
      </w:r>
      <w:r>
        <w:t>: April 14, 2026</w:t>
      </w:r>
    </w:p>
    <w:p w:rsidR="00131D9C" w:rsidRDefault="00507DC5">
      <w:pPr>
        <w:pStyle w:val="Heading2"/>
      </w:pPr>
      <w:r>
        <w:t>What Happened:</w:t>
      </w:r>
    </w:p>
    <w:p w:rsidR="00131D9C" w:rsidRDefault="00000000">
      <w:r>
        <w:t>• Lilly's Jaypirca (pirtobrutinib) met primary endpoint in Phase 3 BRUIN CLL-322 trial, significantly extending progression-free survival (PFS) in previously treated CLL/SLL patients</w:t>
      </w:r>
    </w:p>
    <w:p w:rsidR="00131D9C" w:rsidRDefault="00000000">
      <w:r>
        <w:t>• First Phase 3 trial to demonstrate superiority of a triplet regimen (pirtobrutinib + venetoclax + rituximab) over fixed-duration venetoclax-based control arm</w:t>
      </w:r>
    </w:p>
    <w:p w:rsidR="00131D9C" w:rsidRDefault="00000000">
      <w:r>
        <w:t>• Represents Lilly's fourth Phase 3 CLL trial success for Jaypirca, establishing non-covalent BTK inhibitor as differentiated treatment option</w:t>
      </w:r>
    </w:p>
    <w:p w:rsidR="00131D9C" w:rsidRDefault="00000000">
      <w:r>
        <w:t>• Trial validates fixed-duration triplet therapy approach in relapsed/refractory CLL/SLL population with significant unmet medical need</w:t>
      </w:r>
    </w:p>
    <w:p w:rsidR="00131D9C" w:rsidRDefault="00000000">
      <w:pPr>
        <w:pStyle w:val="Heading2"/>
      </w:pPr>
      <w:r>
        <w:t>I</w:t>
      </w:r>
      <w:r w:rsidR="00507DC5">
        <w:t>mpact</w:t>
      </w:r>
      <w:r>
        <w:t xml:space="preserve"> (CI PoV): High</w:t>
      </w:r>
    </w:p>
    <w:p w:rsidR="00131D9C" w:rsidRDefault="00000000">
      <w:r>
        <w:t>• Direct threat to AbbVie's Venclexta (venetoclax) franchise: Lilly's triplet data shows superiority over venetoclax-rituximab doublet, potentially eroding AbbVie's CLL market share</w:t>
      </w:r>
    </w:p>
    <w:p w:rsidR="00131D9C" w:rsidRDefault="00000000">
      <w:r>
        <w:t>• AbbVie's acalabrutinib-venetoclax combination (approved Feb 2026 for first-line CLL/SLL) faces competitive pressure as Jaypirca positions for earlier-line expansion</w:t>
      </w:r>
    </w:p>
    <w:p w:rsidR="00131D9C" w:rsidRDefault="00000000">
      <w:r>
        <w:t>• Lilly's non-covalent BTK inhibitor mechanism differentiates from AbbVie's partner products and establishes new treatment paradigm favoring triplet combinations</w:t>
      </w:r>
    </w:p>
    <w:p w:rsidR="00131D9C" w:rsidRDefault="00000000">
      <w:r>
        <w:t>• BTK inhibitor market ($10.4B in 2025, 12.2% CAGR through 2035) sees intensified competition with Lilly's fourth Phase 3 win demonstrating consistent execution</w:t>
      </w:r>
    </w:p>
    <w:p w:rsidR="00131D9C" w:rsidRDefault="00507DC5">
      <w:pPr>
        <w:pStyle w:val="Heading2"/>
      </w:pPr>
      <w:r>
        <w:t>Why it matters:</w:t>
      </w:r>
    </w:p>
    <w:p w:rsidR="00131D9C" w:rsidRDefault="00000000">
      <w:r>
        <w:t>• Validates triplet therapy as superior approach in CLL/SLL, potentially shifting treatment paradigm away from AbbVie's doublet combination strategies</w:t>
      </w:r>
    </w:p>
    <w:p w:rsidR="00131D9C" w:rsidRDefault="00000000">
      <w:r>
        <w:t>• Threatens AbbVie's venetoclax-based regimen positioning as Jaypirca demonstrates ability to outperform venetoclax-containing control arms</w:t>
      </w:r>
    </w:p>
    <w:p w:rsidR="00131D9C" w:rsidRDefault="00000000">
      <w:r>
        <w:t>• Lilly's $7B oncology investment and consistent Phase 3 success signals sustained competitive pressure across hematologic malignancies</w:t>
      </w:r>
    </w:p>
    <w:p w:rsidR="00131D9C" w:rsidRDefault="00000000">
      <w:r>
        <w:t>• Fixed-duration triplet approach aligns with industry trend toward time-limited therapy, potentially capturing market share from continuous therapy regimens</w:t>
      </w:r>
    </w:p>
    <w:p w:rsidR="00131D9C" w:rsidRDefault="00507DC5">
      <w:pPr>
        <w:pStyle w:val="Heading2"/>
      </w:pPr>
      <w:r>
        <w:lastRenderedPageBreak/>
        <w:t>Tell me more:</w:t>
      </w:r>
    </w:p>
    <w:p w:rsidR="00131D9C" w:rsidRDefault="00000000">
      <w:r>
        <w:t>• Jaypirca received FDA traditional approval Dec 3, 2025 for relapsed/refractory CLL/SLL post-covalent BTK inhibitor, establishing second-line positioning</w:t>
      </w:r>
    </w:p>
    <w:p w:rsidR="00131D9C" w:rsidRDefault="00000000">
      <w:r>
        <w:t>• Non-covalent BTK inhibition mechanism showed 87% ORR vs 78.5% for ibrutinib in head-to-head trials with reversible binding advantages</w:t>
      </w:r>
    </w:p>
    <w:p w:rsidR="00131D9C" w:rsidRDefault="00000000">
      <w:r>
        <w:t>• AbbVie's acalabrutinib-venetoclax approval (Feb 19, 2026) created first all-oral fixed-duration first-line option, but Lilly's data supports earlier-line expansion potential</w:t>
      </w:r>
    </w:p>
    <w:p w:rsidR="00131D9C" w:rsidRDefault="00000000">
      <w:r>
        <w:t>• BRUIN CLL-322 enrolled previously treated patients, addressing significant unmet need beyond sequential monotherapies in BTK inhibitor-resistant disease</w:t>
      </w:r>
    </w:p>
    <w:p w:rsidR="00131D9C" w:rsidRDefault="00507DC5">
      <w:pPr>
        <w:pStyle w:val="Heading2"/>
      </w:pPr>
      <w:r>
        <w:t>Outlook:</w:t>
      </w:r>
    </w:p>
    <w:p w:rsidR="00131D9C" w:rsidRDefault="00000000">
      <w:r>
        <w:t>• Monitor Lilly's regulatory submissions for label expansion into earlier treatment lines and combination indications that directly compete with AbbVie's venetoclax franchise</w:t>
      </w:r>
    </w:p>
    <w:p w:rsidR="00131D9C" w:rsidRDefault="00000000">
      <w:r>
        <w:t>• Track real-world evidence studies demonstrating durability and cost-effectiveness of pirtobrutinib triplet vs AbbVie's doublet combinations</w:t>
      </w:r>
    </w:p>
    <w:p w:rsidR="00131D9C" w:rsidRDefault="00000000">
      <w:r>
        <w:t>• Assess potential for Lilly to pursue first-line CLL/SLL indications that would directly challenge AbbVie's acalabrutinib-venetoclax positioning</w:t>
      </w:r>
    </w:p>
    <w:p w:rsidR="00131D9C" w:rsidRDefault="00000000">
      <w:r>
        <w:t>• Evaluate AbbVie's strategic response options including novel triplet combinations, biomarker-driven patient selection, or enhanced market access strategies to defend venetoclax market share</w:t>
      </w:r>
    </w:p>
    <w:p w:rsidR="00131D9C" w:rsidRDefault="00000000">
      <w:pPr>
        <w:pStyle w:val="Heading2"/>
      </w:pPr>
      <w:r>
        <w:t>SOURCES</w:t>
      </w:r>
    </w:p>
    <w:p w:rsidR="00131D9C" w:rsidRDefault="00000000">
      <w:r>
        <w:t>1. https://investor.lilly.com/news-releases/jaypirca-bruin-cll-322-results</w:t>
      </w:r>
    </w:p>
    <w:p w:rsidR="00131D9C" w:rsidRDefault="00000000">
      <w:r>
        <w:t>2. https://www.prnewswire.com/news-releases/lillys-jaypirca-pirtobrutinib-significantly-extended-progression-free-survival-when-added-to-a-venetoclax-time-limited-regimen-in-patients-with-previously-treated-cllsll-302739912.html</w:t>
      </w:r>
    </w:p>
    <w:p w:rsidR="00131D9C" w:rsidRDefault="00000000">
      <w:r>
        <w:t>3. https://www.fiercepharma.com/pharma/lillys-jaypirca-shows-fixed-duration-power-ambitious-phase-3-cll-trial-win</w:t>
      </w:r>
    </w:p>
    <w:p w:rsidR="00131D9C" w:rsidRDefault="00000000">
      <w:r>
        <w:t>4. https://www.clinicaltrialsarena.com/news/eli-lilly-results-jaypirca/</w:t>
      </w:r>
    </w:p>
    <w:p w:rsidR="00131D9C" w:rsidRDefault="00000000">
      <w:r>
        <w:t>5. https://www.fda.gov/drugs/resources-information-approved-drugs/fda-grants-traditional-approval-pirtobrutinib-chronic-lymphocytic-leukemia-and-small-lymphocytic</w:t>
      </w:r>
    </w:p>
    <w:p w:rsidR="00131D9C" w:rsidRDefault="00000000">
      <w:r>
        <w:t>6. https://www.cancernetwork.com/view/pirtobrutinib-triplet-boosts-pfs-in-relapsed-refractory-cll-sll-trial</w:t>
      </w:r>
    </w:p>
    <w:p w:rsidR="00131D9C" w:rsidRDefault="00000000">
      <w:r>
        <w:t>7. https://www.delveinsight.com/report-store/btk-inhibitors-market-forecast</w:t>
      </w:r>
    </w:p>
    <w:p w:rsidR="00131D9C" w:rsidRDefault="00000000">
      <w:r>
        <w:t>8. https://www.gminsights.com/industry-analysis/btk-inhibitor-market</w:t>
      </w:r>
    </w:p>
    <w:p w:rsidR="00131D9C" w:rsidRDefault="00000000">
      <w:r>
        <w:lastRenderedPageBreak/>
        <w:t>9. https://news.abbvie.com/2026-02-20-U-S-Food-and-Drug-Administration-FDA-Approves-Combination-Treatment-of-VENCLEXTA-R-venetoclax-and-Acalabrutinib-for-Previously-Untreated-Patients-With-Chronic-Lymphocytic-Leukemia-CLL</w:t>
      </w:r>
    </w:p>
    <w:p w:rsidR="00131D9C" w:rsidRDefault="00000000">
      <w:r>
        <w:t>10. https://www.fda.gov/drugs/resources-information-approved-drugs/fda-approves-acalabrutinib-venetoclax-chronic-lymphocytic-leukemia-or-small-lymphocytic-lymphoma</w:t>
      </w:r>
    </w:p>
    <w:sectPr w:rsidR="00131D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857112">
    <w:abstractNumId w:val="8"/>
  </w:num>
  <w:num w:numId="2" w16cid:durableId="1556357122">
    <w:abstractNumId w:val="6"/>
  </w:num>
  <w:num w:numId="3" w16cid:durableId="372124182">
    <w:abstractNumId w:val="5"/>
  </w:num>
  <w:num w:numId="4" w16cid:durableId="549848264">
    <w:abstractNumId w:val="4"/>
  </w:num>
  <w:num w:numId="5" w16cid:durableId="1747412083">
    <w:abstractNumId w:val="7"/>
  </w:num>
  <w:num w:numId="6" w16cid:durableId="844365985">
    <w:abstractNumId w:val="3"/>
  </w:num>
  <w:num w:numId="7" w16cid:durableId="109591726">
    <w:abstractNumId w:val="2"/>
  </w:num>
  <w:num w:numId="8" w16cid:durableId="724572582">
    <w:abstractNumId w:val="1"/>
  </w:num>
  <w:num w:numId="9" w16cid:durableId="113024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D9C"/>
    <w:rsid w:val="0015074B"/>
    <w:rsid w:val="0029639D"/>
    <w:rsid w:val="00326F90"/>
    <w:rsid w:val="00507DC5"/>
    <w:rsid w:val="008B2E80"/>
    <w:rsid w:val="008D04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904FBA8-A8EE-4F4F-BC67-CF0DD1AC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Khamdaraphone, Jennifer</cp:lastModifiedBy>
  <cp:revision>3</cp:revision>
  <dcterms:created xsi:type="dcterms:W3CDTF">2013-12-23T23:15:00Z</dcterms:created>
  <dcterms:modified xsi:type="dcterms:W3CDTF">2026-04-27T02:31:00Z</dcterms:modified>
  <cp:category/>
</cp:coreProperties>
</file>