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TITLE: AbbVie ELAHERE Phase 2 Data in Platinum-Sensitive Ovarian Cancer</w:t>
      </w:r>
    </w:p>
    <w:p>
      <w:pPr>
        <w:pStyle w:val="Heading2"/>
      </w:pPr>
      <w:r>
        <w:t>COMPANY: AbbVie Inc.</w:t>
      </w:r>
    </w:p>
    <w:p>
      <w:pPr>
        <w:pStyle w:val="Heading2"/>
      </w:pPr>
      <w:r>
        <w:t>DATE: April 12, 2026</w:t>
      </w:r>
    </w:p>
    <w:p>
      <w:pPr>
        <w:pStyle w:val="Heading2"/>
      </w:pPr>
      <w:r>
        <w:t>WHAT HAPPENED</w:t>
      </w:r>
    </w:p>
    <w:p>
      <w:pPr>
        <w:pStyle w:val="ListBullet"/>
      </w:pPr>
      <w:r>
        <w:t>AbbVie presented Phase 2 IMGN853-0420 trial data at SGO 2026 showing ELAHERE + carboplatin achieved 62.7% ORR in FRα-positive platinum-sensitive ovarian cancer (PSOC)</w:t>
      </w:r>
    </w:p>
    <w:p>
      <w:pPr>
        <w:pStyle w:val="ListBullet"/>
      </w:pPr>
      <w:r>
        <w:t>Trial enrolled PSOC patients with 1 prior platinum-based chemotherapy line, using combination therapy followed by ELAHERE monotherapy continuation</w:t>
      </w:r>
    </w:p>
    <w:p>
      <w:pPr>
        <w:pStyle w:val="ListBullet"/>
      </w:pPr>
      <w:r>
        <w:t>Safety profile remained consistent with no unexpected adverse events in the combination regimen</w:t>
      </w:r>
    </w:p>
    <w:p>
      <w:pPr>
        <w:pStyle w:val="Heading2"/>
      </w:pPr>
      <w:r>
        <w:t>IMPACT (CI PoV): High</w:t>
      </w:r>
    </w:p>
    <w:p>
      <w:pPr>
        <w:pStyle w:val="ListBullet"/>
      </w:pPr>
      <w:r>
        <w:t>Eli Lilly's sofetabart mipitecan received FDA Breakthrough Therapy designation (Jan 2026) with Phase 3 trials in both platinum-resistant and platinum-sensitive indications—direct competitive threat</w:t>
      </w:r>
    </w:p>
    <w:p>
      <w:pPr>
        <w:pStyle w:val="ListBullet"/>
      </w:pPr>
      <w:r>
        <w:t>ELAHERE maintains first-and-only approved FRα-ADC status, but competitive window narrowing as Zai Lab's ZW191 (Fast Track) and Qilu's QLS5132 advance</w:t>
      </w:r>
    </w:p>
    <w:p>
      <w:pPr>
        <w:pStyle w:val="ListBullet"/>
      </w:pPr>
      <w:r>
        <w:t>PSOC expansion targets larger patient population than current platinum-resistant indication, significantly increasing addressable market before competitors enter</w:t>
      </w:r>
    </w:p>
    <w:p>
      <w:pPr>
        <w:pStyle w:val="ListBullet"/>
      </w:pPr>
      <w:r>
        <w:t>Combination approach with carboplatin differentiates from competitor monotherapies and may support premium positioning</w:t>
      </w:r>
    </w:p>
    <w:p>
      <w:pPr>
        <w:pStyle w:val="Heading2"/>
      </w:pPr>
      <w:r>
        <w:t>WHY IT MATTERS</w:t>
      </w:r>
    </w:p>
    <w:p>
      <w:pPr>
        <w:pStyle w:val="ListBullet"/>
      </w:pPr>
      <w:r>
        <w:t>PSOC represents larger patient population than platinum-resistant disease, enabling earlier-line positioning in treatment algorithm and expanding commercial opportunity</w:t>
      </w:r>
    </w:p>
    <w:p>
      <w:pPr>
        <w:pStyle w:val="ListBullet"/>
      </w:pPr>
      <w:r>
        <w:t>62.7% ORR exceeds historical carboplatin monotherapy benchmarks (40-50%), demonstrating clinically meaningful benefit that supports potential label expansion</w:t>
      </w:r>
    </w:p>
    <w:p>
      <w:pPr>
        <w:pStyle w:val="ListBullet"/>
      </w:pPr>
      <w:r>
        <w:t>FRα-ADC market evolving rapidly with multiple competitors; accelerating PSOC indication critical to maintaining market leadership before sofetabart's 2027-2028 approval</w:t>
      </w:r>
    </w:p>
    <w:p>
      <w:pPr>
        <w:pStyle w:val="Heading2"/>
      </w:pPr>
      <w:r>
        <w:t>TELL ME MORE</w:t>
      </w:r>
    </w:p>
    <w:p>
      <w:pPr>
        <w:pStyle w:val="ListBullet"/>
      </w:pPr>
      <w:r>
        <w:t>ELAHERE holds FDA full approval (March 2024) for FRα-positive platinum-resistant ovarian cancer and European Commission approval (2025) with UK pricing strategy established</w:t>
      </w:r>
    </w:p>
    <w:p>
      <w:pPr>
        <w:pStyle w:val="ListBullet"/>
      </w:pPr>
      <w:r>
        <w:t>Ovarian cancer therapeutics market projected at $6.65B (2026-2030) with 24.1% CAGR; AbbVie oncology revenues ~$1.6B (Q1 2026), targeting $6.5B full-year 2026</w:t>
      </w:r>
    </w:p>
    <w:p>
      <w:pPr>
        <w:pStyle w:val="ListBullet"/>
      </w:pPr>
      <w:r>
        <w:t>FRα overexpressed in 75-90% of ovarian cancers, particularly high-grade serous carcinoma, providing validated biomarker for patient selection</w:t>
      </w:r>
    </w:p>
    <w:p>
      <w:pPr>
        <w:pStyle w:val="ListBullet"/>
      </w:pPr>
      <w:r>
        <w:t>Sofetabart mipitecan demonstrated 50% response rate in heavily pretreated platinum-resistant patients; Phase 3 two-part study evaluating both PROC and PSOC indications</w:t>
      </w:r>
    </w:p>
    <w:p>
      <w:pPr>
        <w:pStyle w:val="Heading2"/>
      </w:pPr>
      <w:r>
        <w:t>OUTLOOK</w:t>
      </w:r>
    </w:p>
    <w:p>
      <w:pPr>
        <w:pStyle w:val="ListBullet"/>
      </w:pPr>
      <w:r>
        <w:t>Pursue supplemental BLA filing for PSOC indication to establish market position before sofetabart approval (2027-2028 timeline)</w:t>
      </w:r>
    </w:p>
    <w:p>
      <w:pPr>
        <w:pStyle w:val="ListBullet"/>
      </w:pPr>
      <w:r>
        <w:t>Develop combination strategies with immunotherapy agents to differentiate from monotherapy competitors and address evolving treatment landscape</w:t>
      </w:r>
    </w:p>
    <w:p>
      <w:pPr>
        <w:pStyle w:val="ListBullet"/>
      </w:pPr>
      <w:r>
        <w:t>Monitor sofetabart Phase 3 data readouts in both PROC and PSOC arms for comparative efficacy signals</w:t>
      </w:r>
    </w:p>
    <w:p>
      <w:pPr>
        <w:pStyle w:val="ListBullet"/>
      </w:pPr>
      <w:r>
        <w:t>Invest in companion diagnostic (FRα testing) infrastructure and real-world evidence generation to support market penetration and payer access</w:t>
      </w:r>
    </w:p>
    <w:p>
      <w:pPr>
        <w:pStyle w:val="ListBullet"/>
      </w:pPr>
      <w:r>
        <w:t>Track emerging competitors (ZW191, QLS5132) and broader treatment landscape shifts including PARP inhibitor maintenance and immunotherapy combinations</w:t>
      </w:r>
    </w:p>
    <w:p>
      <w:pPr>
        <w:pStyle w:val="Heading2"/>
      </w:pPr>
      <w:r>
        <w:t>SOURCES</w:t>
      </w:r>
    </w:p>
    <w:p>
      <w:r>
        <w:t>1. https://news.abbvie.com/2026-04-12-AbbVie-Showcases-Late-Breaking-Phase-2-Data-for-Mirvetuximab-Soravtansine-gynx-ELAHERE-R-in-Platinum-Sensitive-Ovarian-Cancer-PSOC-at-SGO-2026</w:t>
      </w:r>
    </w:p>
    <w:p>
      <w:r>
        <w:t>2. https://www.prnewswire.com/news-releases/abbvie-showcases-latebreaking-phase-2-data-for-mirvetuximab-soravtansine-gynx-elahere-in-platinumsensitive-ovarian-cancer-psoc-at-sgo-2026-302739847.html</w:t>
      </w:r>
    </w:p>
    <w:p>
      <w:r>
        <w:t>3. https://www.biopharminternational.com/view/elahere-combination-achieves-62-7-orr-in-phase-2-trial-for-platinum-sensitive-ovarian-cancer-at-sgo-2026</w:t>
      </w:r>
    </w:p>
    <w:p>
      <w:r>
        <w:t>4. https://www.clinicaltrialsarena.com/news/abbvies-elahere-succeeds-in-phase-ii-platinum-sensitive-ovarian-cancer-trial/</w:t>
      </w:r>
    </w:p>
    <w:p>
      <w:r>
        <w:t>5. https://www.targetedonc.com/view/mirvetuximab-soravtansine-combo-elicits-antitumor-activity-in-platinum-sensitive-ovarian-cancer</w:t>
      </w:r>
    </w:p>
    <w:p>
      <w:r>
        <w:t>6. https://clinicaltrials.gov/study/nct05456685</w:t>
      </w:r>
    </w:p>
    <w:p>
      <w:r>
        <w:t>7. https://investor.lilly.com/news-releases/news-release-details/lillys-sofetabart-mipitecan-receives-us-fdas-breakthrough</w:t>
      </w:r>
    </w:p>
    <w:p>
      <w:r>
        <w:t>8. https://www.globenewswire.com/news-release/2025/11/27/3195708/28124/en/Folate-Receptor-Alpha-FRa-Targeted-Therapy-Competitor-Analysis-Report-2025-Next-Generation-Cell-Therapy-Modalities-and-Radiopharmaceuticals-are-Advancing-in-the-Pipeline.html</w:t>
      </w:r>
    </w:p>
    <w:p>
      <w:r>
        <w:t>9. https://www.sgo.org/news/leading-clinical-research-and-abstract-submissions-to-headline-2026-sgo-annual-meeting-on-womens-cancer-in-san-juan-puerto-rico/</w:t>
      </w:r>
    </w:p>
    <w:p>
      <w:r>
        <w:t>10. https://finance.yahoo.com/sectors/healthcare/articles/abbvie-ovarian-cancer-data-pain-deal-extend-long-term-story-042746197.html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