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TITLE: Allergan Aesthetics Third AMI Training Center Opens in Austin</w:t>
      </w:r>
    </w:p>
    <w:p>
      <w:pPr>
        <w:pStyle w:val="Heading2"/>
      </w:pPr>
      <w:r>
        <w:t>COMPANY: Allergan Aesthetics (AbbVie)</w:t>
      </w:r>
    </w:p>
    <w:p>
      <w:pPr>
        <w:pStyle w:val="Heading2"/>
      </w:pPr>
      <w:r>
        <w:t>DATE: April 7, 2026</w:t>
      </w:r>
    </w:p>
    <w:p>
      <w:pPr>
        <w:pStyle w:val="Heading2"/>
      </w:pPr>
      <w:r>
        <w:t>WHAT HAPPENED</w:t>
      </w:r>
    </w:p>
    <w:p>
      <w:pPr>
        <w:pStyle w:val="ListBullet"/>
      </w:pPr>
      <w:r>
        <w:t>Allergan Aesthetics opened its third state-of-the-art Allergan Medical Institute (AMI) training center in Austin, Texas, completing a three-center U.S. expansion announced in February 2025</w:t>
      </w:r>
    </w:p>
    <w:p>
      <w:pPr>
        <w:pStyle w:val="ListBullet"/>
      </w:pPr>
      <w:r>
        <w:t>Facility follows openings of AMI Orange County (Irvine, California headquarters) and AMI Atlanta (Georgia)</w:t>
      </w:r>
    </w:p>
    <w:p>
      <w:pPr>
        <w:pStyle w:val="ListBullet"/>
      </w:pPr>
      <w:r>
        <w:t>Center provides comprehensive hands-on training in injectables (BOTOX, fillers), body contouring, facial anatomy, advanced injection protocols, and business education for aesthetic providers</w:t>
      </w:r>
    </w:p>
    <w:p>
      <w:pPr>
        <w:pStyle w:val="ListBullet"/>
      </w:pPr>
      <w:r>
        <w:t>Training delivery includes in-person hands-on sessions, roundtable forums, national symposia, webcasts, and online platforms (AMIOnline.com) with modular programs for all provider experience levels</w:t>
      </w:r>
    </w:p>
    <w:p>
      <w:pPr>
        <w:pStyle w:val="ListBullet"/>
      </w:pPr>
      <w:r>
        <w:t>Enrollment opened immediately for 2026 training dates with strong provider community interest in advanced anatomy and injection technique courses</w:t>
      </w:r>
    </w:p>
    <w:p>
      <w:pPr>
        <w:pStyle w:val="Heading2"/>
      </w:pPr>
      <w:r>
        <w:t>IMPACT (CI PoV): Medium</w:t>
      </w:r>
    </w:p>
    <w:p>
      <w:pPr>
        <w:pStyle w:val="ListBullet"/>
      </w:pPr>
      <w:r>
        <w:t>Strengthens AbbVie's provider education infrastructure advantage over competitors (Galderma, Merz, Revance, Evolus) who lack comparable in-person training networks</w:t>
      </w:r>
    </w:p>
    <w:p>
      <w:pPr>
        <w:pStyle w:val="ListBullet"/>
      </w:pPr>
      <w:r>
        <w:t>Creates switching costs and provider loyalty through direct educational relationships, defending BOTOX market share against Daxxify and Jeuveau competition</w:t>
      </w:r>
    </w:p>
    <w:p>
      <w:pPr>
        <w:pStyle w:val="ListBullet"/>
      </w:pPr>
      <w:r>
        <w:t>Generates proprietary data on provider preferences and emerging techniques unavailable to competitors</w:t>
      </w:r>
    </w:p>
    <w:p>
      <w:pPr>
        <w:pStyle w:val="ListBullet"/>
      </w:pPr>
      <w:r>
        <w:t>Positions AbbVie as thought leader in aesthetic medicine through comprehensive education ecosystem</w:t>
      </w:r>
    </w:p>
    <w:p>
      <w:pPr>
        <w:pStyle w:val="Heading2"/>
      </w:pPr>
      <w:r>
        <w:t>WHY IT MATTERS</w:t>
      </w:r>
    </w:p>
    <w:p>
      <w:pPr>
        <w:pStyle w:val="ListBullet"/>
      </w:pPr>
      <w:r>
        <w:t>Medical aesthetics market growing rapidly at 10.7-13.3% CAGR, projected to reach $40.7 billion globally by 2031 and $17.45 billion in U.S. by 2031</w:t>
      </w:r>
    </w:p>
    <w:p>
      <w:pPr>
        <w:pStyle w:val="ListBullet"/>
      </w:pPr>
      <w:r>
        <w:t>Training centers serve as competitive moat in increasingly crowded neurotoxin market facing price pressure and product commoditization</w:t>
      </w:r>
    </w:p>
    <w:p>
      <w:pPr>
        <w:pStyle w:val="ListBullet"/>
      </w:pPr>
      <w:r>
        <w:t>Geographic expansion into high-growth Texas market captures expanding provider base and strengthens regional market penetration</w:t>
      </w:r>
    </w:p>
    <w:p>
      <w:pPr>
        <w:pStyle w:val="ListBullet"/>
      </w:pPr>
      <w:r>
        <w:t>Education-driven strategy supports long-term market share defense as BOTOX faces intensifying competition from longer-acting alternatives like Daxxify</w:t>
      </w:r>
    </w:p>
    <w:p>
      <w:pPr>
        <w:pStyle w:val="Heading2"/>
      </w:pPr>
      <w:r>
        <w:t>TELL ME MORE</w:t>
      </w:r>
    </w:p>
    <w:p>
      <w:pPr>
        <w:pStyle w:val="ListBullet"/>
      </w:pPr>
      <w:r>
        <w:t>Three-center network strategically spans key U.S. markets with state-of-the-art facilities combining rigorous scientific instruction and practical hands-on training</w:t>
      </w:r>
    </w:p>
    <w:p>
      <w:pPr>
        <w:pStyle w:val="ListBullet"/>
      </w:pPr>
      <w:r>
        <w:t>Training covers full Allergan portfolio including BOTOX, fillers, body contouring, with modular programs designed for nurses, physicians, physician assistants, and aestheticians at all experience levels</w:t>
      </w:r>
    </w:p>
    <w:p>
      <w:pPr>
        <w:pStyle w:val="ListBullet"/>
      </w:pPr>
      <w:r>
        <w:t>Recent strategic initiatives include Skin Quality Index launch (March 19, 2026) establishing unified vocabulary for skin quality outcomes and medical weight loss integration data presentation</w:t>
      </w:r>
    </w:p>
    <w:p>
      <w:pPr>
        <w:pStyle w:val="ListBullet"/>
      </w:pPr>
      <w:r>
        <w:t>Global survey data shows 74% of providers intend to improve facial skin quality within 12 months and 63% cite improving specific aesthetic concerns as priority</w:t>
      </w:r>
    </w:p>
    <w:p>
      <w:pPr>
        <w:pStyle w:val="ListBullet"/>
      </w:pPr>
      <w:r>
        <w:t>Facility serves as hub for regional provider community engagement, continuing education, and knowledge sharing within broader AMI national training network</w:t>
      </w:r>
    </w:p>
    <w:p>
      <w:pPr>
        <w:pStyle w:val="Heading2"/>
      </w:pPr>
      <w:r>
        <w:t>OUTLOOK</w:t>
      </w:r>
    </w:p>
    <w:p>
      <w:pPr>
        <w:pStyle w:val="ListBullet"/>
      </w:pPr>
      <w:r>
        <w:t>Monitor competitor responses to education infrastructure gap—potential for Galderma or Merz to develop rival training networks in response to Allergan's advantage</w:t>
      </w:r>
    </w:p>
    <w:p>
      <w:pPr>
        <w:pStyle w:val="ListBullet"/>
      </w:pPr>
      <w:r>
        <w:t>Track provider enrollment trends and training center utilization rates as key indicators of market penetration effectiveness and provider loyalty</w:t>
      </w:r>
    </w:p>
    <w:p>
      <w:pPr>
        <w:pStyle w:val="ListBullet"/>
      </w:pPr>
      <w:r>
        <w:t>Watch for integration of emerging trends (medical weight loss, skin quality metrics, multimodal aesthetic approaches) into training curriculum evolution</w:t>
      </w:r>
    </w:p>
    <w:p>
      <w:pPr>
        <w:pStyle w:val="ListBullet"/>
      </w:pPr>
      <w:r>
        <w:t>Assess impact on BOTOX market share retention versus Daxxify, Jeuveau, and other neurotoxin competitors over 12-18 month horizon</w:t>
      </w:r>
    </w:p>
    <w:p>
      <w:pPr>
        <w:pStyle w:val="ListBullet"/>
      </w:pPr>
      <w:r>
        <w:t>Evaluate potential for international AMI expansion beyond U.S. to capture global aesthetics market growth opportunity</w:t>
      </w:r>
    </w:p>
    <w:p>
      <w:pPr>
        <w:pStyle w:val="Heading2"/>
      </w:pPr>
      <w:r>
        <w:t>SOURCES</w:t>
      </w:r>
    </w:p>
    <w:p>
      <w:r>
        <w:t>1. https://news.abbvie.com/2026-04-07-Allergan-Aesthetics-Third-State-of-the-Art-AMI-Center-Opens-in-Austin</w:t>
      </w:r>
    </w:p>
    <w:p>
      <w:r>
        <w:t>2. https://www.prnewswire.com/news-releases/allergan-aesthetics-third-state-of-the-art-ami-center-opens-in-austin-302735154.html</w:t>
      </w:r>
    </w:p>
    <w:p>
      <w:r>
        <w:t>3. https://plasticsurgerypractice.com/practice-management/continuing-education/allergan-aesthetics-opens-third-ami-training-center-austin/</w:t>
      </w:r>
    </w:p>
    <w:p>
      <w:r>
        <w:t>4. https://investingnews.com/allergan-aesthetics-third-state-of-the-art-ami-center-opens-in-austin/</w:t>
      </w:r>
    </w:p>
    <w:p>
      <w:r>
        <w:t>5. https://thedermdigest.com/allergan-aesthetics-updates-applications-open-for-the-confidence-collective-empowering-women-entrepreneurs-new-ami-center-opens-in-austin-tx/</w:t>
      </w:r>
    </w:p>
    <w:p>
      <w:r>
        <w:t>6. https://www.indianpharmapost.com/news/lite/allergan-aesthetics-opens-cutting-edge-ami-training-center-in-austin-19614</w:t>
      </w:r>
    </w:p>
    <w:p>
      <w:r>
        <w:t>7. https://news.abbvie.com/2025-02-12-Allergan-Aesthetics-To-Launch-Three-New-State-of-the-Art-Training-Centers-in-the-U-S-Expanding-Access-to-High-Quality-Aesthetics-Training</w:t>
      </w:r>
    </w:p>
    <w:p>
      <w:r>
        <w:t>8. https://news.abbvie.com/2026-03-19-Allergan-Aesthetics-Reveals-Evolution-in-Approach-to-Modern-Aesthetic-Treatments-with-Comprehensive-Global-Survey-and-New-Educational-Solutions</w:t>
      </w:r>
    </w:p>
    <w:p>
      <w:r>
        <w:t>9. https://natlawreview.com/press-releases/aesthetic-demand-trends-facial-injectable-market-insights-2026-2035</w:t>
      </w:r>
    </w:p>
    <w:p>
      <w:r>
        <w:t>10. https://www.marketsandmarkets.com/ResearchInsight/united-states-medical-aesthetics-companies.asp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