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TITLE: Pfizer Oncology Innovation at ASCO 2026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COMPANY: Pfizer Inc. (NYSE: PFE)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DATE: April 21, 2026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Pfizer announced comprehensive oncology portfolio presentation at ASCO 2026 (May 29-June 2, Chicago) with 50+ company-sponsored abstracts, 11 oral presentations, and 3 late-breaking sessions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Showcased clinical data across multiple cancer types following $43B Seagen acquisition that doubled oncology pipeline to 60 programs spanning ADCs, bispecific antibodies, targeted therapies, and immunotherapies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data presented: PADCEV demonstrating patients living 2x longer versus chemotherapy in bladder cancer; TUKYSA showing 35.9% reduction in disease progression; TALZENNA+XTANDI advancing prostate cancer treatment; LORBRENA establishing standard-of-care for ALK+ NSCLC; ELREXFIO advancing multiple myeloma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expansion addresses Pfizer's patent cliff concerns through oncology-focused growth strategy, positioning company as major innovation player across lung, colorectal, prostate, breast, bladder, and hematologic malignancies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IMPACT (CI PoV): High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Pfizer's 60-program oncology pipeline post-Seagen acquisition directly challenges competitor oncology footprints, particularly in hematologic malignancies where ELREXFIO competes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PADCEV+pembrolizumab combination demonstrates Pfizer's strategy of partnering with Merck's Keytruda, creating integrated competitive advantages in immuno-oncology space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Pfizer's ADC platform expansion via Seagen threatens competitor ADC development programs and future combination therapy opportunities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 modality diversification (small molecules, biologics, ADCs, bispecifics) with significantly larger scale enables portfolio risk reduction and multiple revenue streams post-patent cliff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positioning shift from patent cliff concerns to pipeline innovation may attract investor capital and analyst attention away from near-term revenue pressure narratives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Pfizer's aggressive oncology expansion creates intensified competition across multiple therapeutic areas in the fastest-growing pharma segment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Seagen integration success targeting 8+ blockbusters by 2030 sets competitive benchmark for M&amp;A-driven growth strategy in oncology space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Oncology market growing at 13% CAGR to $694B by 2033 makes this the primary battleground for large pharma revenue growth in post-patent cliff era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Pfizer's scale advantages (60 programs, multiple Phase 3 readouts in 2026) enable portfolio diversification that reduces development risk versus more concentrated competitor strategies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ASCO 2026 represents world's largest oncology conference (39,000+ attendees, 3,400+ abstracts) providing maximum visibility for competitive positioning and investor perception shifts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TELL ME MORE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Seagen acquisition completed for $43B, integrating 4 approved therapies and robust ADC pipeline into Pfizer's oncology division with demonstrated clinical efficacy across multiple indications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Pfizer market cap $155.35B as of April 21, 2026, with oncology pivot designed to shift investor focus from near-term revenue pressures to long-term pipeline value creation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competitors identified: Merck (Keytruda dominance in immuno-oncology), Bristol Myers Squibb (extensive immuno-oncology portfolio), Roche (balanced Pharma/Diagnostics approach), AstraZeneca, Novartis, and Eli Lilly with significant pipeline investments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2026 catalysts include PADCEV cisplatin-ineligible bladder cancer data, TALZENNA+XTANDI earlier-line prostate cancer indication, TUKYSA maintenance therapy expansion, and Phase 3 readouts across multiple indications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Pfizer's modest 2026 guidance reflects ongoing integration of Seagen and Metsera acquisitions, with patent cliff pressures offset by pipeline advancement and strategic focus on oncology as primary growth driver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Pfizer's Phase 3 readouts throughout 2026 for regulatory submission timing that could accelerate market entry and establish competitive benchmarks in overlapping therapeutic indications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Seagen ADC platform productivity and new target selection to anticipate future competitive threats and partnership opportunities in antibody-drug conjugate space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PADCEV+Keytruda combination success as model for large pharma-large pharma collaboration that may reshape immuno-oncology competitive dynamics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investor sentiment shift from Pfizer's patent cliff narrative to pipeline innovation as potential template for industry-wide strategic communications and valuation approaches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for additional Pfizer M&amp;A activity in oncology given successful Seagen integration and stated goal of 8+ blockbusters by 2030, signaling continued consolidation in oncology space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https://www.pfizer.com/news/press-release/press-release-detail/pfizer-showcases-oncology-innovation-and-next-generation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https://simplywall.st/stocks/us/pharmaceuticals-biotech/nyse-pfe/pfizer/news/pfizer-oncology-pivot-in-focus-as-asco-2026-data-and-padcev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https://www.fiercebiotech.com/resource/oncology-market-outlook-2026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https://www.coherentmarketinsights.com/market-insight/oncology-drugs-market-2332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https://www.ainvest.com/news/pfizer-oncology-play-seagen-integration-deliver-8-blockbusters-2030-2604/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https://www.pfizer.com/pfizer-pipeline-key-anticipated-2026-catalysts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https://www.globenewswire.com/news-release/2026/04/21/3277745/0/en/Immuno-Oncology-Drugs-Market-Opportunity-Analysis-and-Forecast-Report-2026-2035-Merck-Co-Remains-a-Dominant-Force-Supported-by-the-Commercial-Success-of-Keytruda.html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https://www.asco.org/annual-meeting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9. https://www.cnbc.com/2025/12/16/pfizer-2026-guidance-metsera-seagen-deals.html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QitLiryt3yK2iRcM/kQd33Bvw==">CgMxLjA4AHIhMW42YkRmUmcwWjAzSUlXb3V3TklyVThYSGdpMUNTVnJR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