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0AB1" w14:textId="089D659F" w:rsidR="006071B2" w:rsidRDefault="006071B2" w:rsidP="006071B2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"/>
        <w:gridCol w:w="8137"/>
        <w:gridCol w:w="611"/>
      </w:tblGrid>
      <w:tr w:rsidR="006071B2" w14:paraId="7CE6EDE6" w14:textId="77777777" w:rsidTr="00E44BF1">
        <w:tc>
          <w:tcPr>
            <w:tcW w:w="715" w:type="dxa"/>
          </w:tcPr>
          <w:p w14:paraId="759ECCD3" w14:textId="77777777" w:rsidR="006071B2" w:rsidRDefault="006071B2"/>
        </w:tc>
        <w:tc>
          <w:tcPr>
            <w:tcW w:w="7920" w:type="dxa"/>
          </w:tcPr>
          <w:p w14:paraId="1CC9F83F" w14:textId="19503492" w:rsidR="006071B2" w:rsidRDefault="00E44BF1">
            <w:r>
              <w:rPr>
                <w:noProof/>
              </w:rPr>
              <w:drawing>
                <wp:inline distT="0" distB="0" distL="0" distR="0" wp14:anchorId="34FD742C" wp14:editId="7A5E791F">
                  <wp:extent cx="5029835" cy="890270"/>
                  <wp:effectExtent l="0" t="0" r="0" b="5080"/>
                  <wp:docPr id="18870853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" w:type="dxa"/>
          </w:tcPr>
          <w:p w14:paraId="0B454EA6" w14:textId="77777777" w:rsidR="006071B2" w:rsidRDefault="006071B2"/>
        </w:tc>
      </w:tr>
      <w:tr w:rsidR="00E44BF1" w14:paraId="7C7375FE" w14:textId="77777777" w:rsidTr="00E44BF1">
        <w:tc>
          <w:tcPr>
            <w:tcW w:w="715" w:type="dxa"/>
          </w:tcPr>
          <w:p w14:paraId="66B54F8A" w14:textId="77777777" w:rsidR="00E44BF1" w:rsidRDefault="00E44BF1"/>
        </w:tc>
        <w:tc>
          <w:tcPr>
            <w:tcW w:w="7920" w:type="dxa"/>
          </w:tcPr>
          <w:p w14:paraId="54B93DEE" w14:textId="77777777" w:rsidR="00E44BF1" w:rsidRDefault="00E44BF1" w:rsidP="006753F0">
            <w:pPr>
              <w:jc w:val="center"/>
              <w:rPr>
                <w:noProof/>
              </w:rPr>
            </w:pPr>
          </w:p>
        </w:tc>
        <w:tc>
          <w:tcPr>
            <w:tcW w:w="715" w:type="dxa"/>
          </w:tcPr>
          <w:p w14:paraId="6189BF0E" w14:textId="77777777" w:rsidR="00E44BF1" w:rsidRDefault="00E44BF1"/>
        </w:tc>
      </w:tr>
      <w:tr w:rsidR="00FA6F5E" w14:paraId="320ABE60" w14:textId="77777777" w:rsidTr="00E44BF1">
        <w:tc>
          <w:tcPr>
            <w:tcW w:w="715" w:type="dxa"/>
          </w:tcPr>
          <w:p w14:paraId="15AA52A7" w14:textId="77777777" w:rsidR="00FA6F5E" w:rsidRDefault="00FA6F5E"/>
        </w:tc>
        <w:tc>
          <w:tcPr>
            <w:tcW w:w="7920" w:type="dxa"/>
          </w:tcPr>
          <w:p w14:paraId="42317AED" w14:textId="5FF9C24C" w:rsidR="00FA6F5E" w:rsidRDefault="00CD2130" w:rsidP="006753F0">
            <w:pPr>
              <w:jc w:val="center"/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B9FB953" wp14:editId="548D1EED">
                  <wp:extent cx="2082800" cy="389005"/>
                  <wp:effectExtent l="0" t="0" r="0" b="0"/>
                  <wp:docPr id="2078721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21767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514" cy="39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" w:type="dxa"/>
          </w:tcPr>
          <w:p w14:paraId="7F45C104" w14:textId="77777777" w:rsidR="00FA6F5E" w:rsidRDefault="00FA6F5E"/>
        </w:tc>
      </w:tr>
      <w:tr w:rsidR="007C110D" w14:paraId="22C14BEA" w14:textId="77777777" w:rsidTr="00E44BF1">
        <w:tc>
          <w:tcPr>
            <w:tcW w:w="715" w:type="dxa"/>
          </w:tcPr>
          <w:p w14:paraId="413B85C6" w14:textId="77777777" w:rsidR="007C110D" w:rsidRDefault="007C110D"/>
        </w:tc>
        <w:tc>
          <w:tcPr>
            <w:tcW w:w="7920" w:type="dxa"/>
          </w:tcPr>
          <w:p w14:paraId="5644CFB1" w14:textId="67D83793" w:rsidR="00C81765" w:rsidRDefault="009874FC" w:rsidP="00C81765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Following </w:t>
            </w:r>
            <w:r w:rsidR="003E6F47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prior announcements </w:t>
            </w:r>
            <w:r w:rsidR="007D6B65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of the US and EU approval of JnJ’s amivantamab </w:t>
            </w:r>
            <w:r w:rsidR="00422A7C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(EGFR/MET mAb) </w:t>
            </w:r>
            <w:r w:rsidR="007D6B65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+ </w:t>
            </w:r>
            <w:r w:rsidR="000E1255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l</w:t>
            </w:r>
            <w:r w:rsidR="007D6B65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azertinib </w:t>
            </w:r>
            <w:r w:rsidR="00422A7C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(EGFR TKI) </w:t>
            </w:r>
            <w:r w:rsidR="007D6B65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in 1L EGFRm based on mPFS</w:t>
            </w:r>
            <w:r w:rsidR="001E5DBE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in the P3 MARIPOSA study</w:t>
            </w:r>
            <w:r w:rsidR="007D6B65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, </w:t>
            </w:r>
            <w:r w:rsidR="006753F0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JnJ</w:t>
            </w:r>
            <w:r w:rsidR="00C81765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hyperlink r:id="rId10" w:history="1">
              <w:r w:rsidR="00EE302B" w:rsidRPr="00A80B7E">
                <w:rPr>
                  <w:rStyle w:val="Hyperlink"/>
                  <w:rFonts w:ascii="Aptos" w:eastAsia="Aptos" w:hAnsi="Aptos" w:cs="Aptos"/>
                  <w:b/>
                  <w:bCs/>
                  <w:kern w:val="0"/>
                  <w14:ligatures w14:val="none"/>
                </w:rPr>
                <w:t>announced</w:t>
              </w:r>
            </w:hyperlink>
            <w:r w:rsidR="00EE302B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B7698A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MARIPOSA has also</w:t>
            </w:r>
            <w:r w:rsidR="00F31B24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</w:t>
            </w:r>
            <w:r w:rsidR="004A6F30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met secondary endpoint of OS</w:t>
            </w:r>
            <w:r w:rsidR="00EE302B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vs </w:t>
            </w:r>
            <w:r w:rsidR="00EF4C47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osimertinib in 1L EGFRm NSCLC</w:t>
            </w:r>
          </w:p>
          <w:p w14:paraId="0A713690" w14:textId="77777777" w:rsidR="008E1213" w:rsidRDefault="008E1213" w:rsidP="00C81765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</w:p>
          <w:p w14:paraId="32DA7AB9" w14:textId="5A90CAA1" w:rsidR="00106769" w:rsidRDefault="00C070CA">
            <w:pPr>
              <w:pStyle w:val="ListParagraph"/>
              <w:numPr>
                <w:ilvl w:val="0"/>
                <w:numId w:val="1"/>
              </w:numPr>
            </w:pPr>
            <w:r>
              <w:t>No data was provided in the press release</w:t>
            </w:r>
            <w:r w:rsidR="00106769">
              <w:t xml:space="preserve">, but the headline reads </w:t>
            </w:r>
            <w:r w:rsidR="004404FC">
              <w:t>“</w:t>
            </w:r>
            <w:r w:rsidR="00106769" w:rsidRPr="00FC3B70">
              <w:rPr>
                <w:b/>
                <w:bCs/>
                <w:i/>
                <w:iCs/>
              </w:rPr>
              <w:t>Median overall survival improvement expected to exceed one year</w:t>
            </w:r>
            <w:r w:rsidR="00106769" w:rsidRPr="00FC3B70">
              <w:rPr>
                <w:b/>
                <w:bCs/>
              </w:rPr>
              <w:t>.</w:t>
            </w:r>
            <w:r w:rsidR="00106769">
              <w:t>”</w:t>
            </w:r>
            <w:r w:rsidR="000A71CF">
              <w:t xml:space="preserve"> </w:t>
            </w:r>
            <w:r w:rsidR="00FC3B70" w:rsidRPr="00FC3B70">
              <w:t xml:space="preserve">The mOS in the osimertinib control arm </w:t>
            </w:r>
            <w:r w:rsidR="007E7538">
              <w:t xml:space="preserve">of MARIPOSA </w:t>
            </w:r>
            <w:r w:rsidR="00FC3B70" w:rsidRPr="00FC3B70">
              <w:t>was 37.3 mos at last report (WCLC 2024)</w:t>
            </w:r>
            <w:r w:rsidR="0070198F">
              <w:t xml:space="preserve">, close to </w:t>
            </w:r>
            <w:r w:rsidR="003F3D04">
              <w:t xml:space="preserve">outcomes of </w:t>
            </w:r>
            <w:r w:rsidR="00826886">
              <w:t>o</w:t>
            </w:r>
            <w:r w:rsidR="003F3D04">
              <w:t>simertinib in its pivotal trial (FLAURA; 38.</w:t>
            </w:r>
            <w:r w:rsidR="00EE2CF1">
              <w:t xml:space="preserve">6 mos). </w:t>
            </w:r>
            <w:r w:rsidR="00FC3B70">
              <w:t xml:space="preserve"> </w:t>
            </w:r>
            <w:r w:rsidR="006D5A16">
              <w:t>The</w:t>
            </w:r>
            <w:r w:rsidR="000A71CF">
              <w:t xml:space="preserve"> </w:t>
            </w:r>
            <w:r w:rsidR="000B6252">
              <w:t xml:space="preserve">headline suggests the </w:t>
            </w:r>
            <w:r w:rsidR="006D5A16">
              <w:t xml:space="preserve">OS </w:t>
            </w:r>
            <w:r w:rsidR="000A71CF">
              <w:t>benefit</w:t>
            </w:r>
            <w:r w:rsidR="004C7E3F">
              <w:t xml:space="preserve"> of ami/laz </w:t>
            </w:r>
            <w:r w:rsidR="000B6252">
              <w:t>could exceed</w:t>
            </w:r>
            <w:r w:rsidR="000E206C">
              <w:t xml:space="preserve"> 47 mos</w:t>
            </w:r>
            <w:r w:rsidR="00297AE1">
              <w:t>.</w:t>
            </w:r>
          </w:p>
          <w:p w14:paraId="3E1EB1B4" w14:textId="4F6C42BF" w:rsidR="006D3A51" w:rsidRDefault="00323F3D" w:rsidP="00C81765">
            <w:pPr>
              <w:pStyle w:val="ListParagraph"/>
              <w:numPr>
                <w:ilvl w:val="0"/>
                <w:numId w:val="1"/>
              </w:numPr>
            </w:pPr>
            <w:hyperlink r:id="rId11" w:history="1">
              <w:r w:rsidRPr="006D3A51">
                <w:rPr>
                  <w:rStyle w:val="Hyperlink"/>
                </w:rPr>
                <w:t>NCCN guidelines updated this week</w:t>
              </w:r>
            </w:hyperlink>
            <w:r>
              <w:t xml:space="preserve"> </w:t>
            </w:r>
            <w:r w:rsidR="005770AA">
              <w:t xml:space="preserve">continue to cite </w:t>
            </w:r>
            <w:r w:rsidR="00C25F35">
              <w:t>o</w:t>
            </w:r>
            <w:r w:rsidR="005770AA">
              <w:t>simertinib monotherapy as “</w:t>
            </w:r>
            <w:r w:rsidR="00C25F35">
              <w:t xml:space="preserve">category 1 </w:t>
            </w:r>
            <w:r w:rsidR="005770AA">
              <w:t>preferred</w:t>
            </w:r>
            <w:r w:rsidR="00C25F35">
              <w:t>,</w:t>
            </w:r>
            <w:r w:rsidR="005770AA">
              <w:t xml:space="preserve">” </w:t>
            </w:r>
            <w:r w:rsidR="00C25F35">
              <w:t xml:space="preserve">with amivantamab + </w:t>
            </w:r>
            <w:r w:rsidR="006D3A51">
              <w:t>l</w:t>
            </w:r>
            <w:r w:rsidR="00C25F35">
              <w:t>azertinib as category 1</w:t>
            </w:r>
          </w:p>
          <w:p w14:paraId="64E07263" w14:textId="27B3FDDD" w:rsidR="00CC22C8" w:rsidRDefault="006F127C" w:rsidP="00282D8C">
            <w:pPr>
              <w:pStyle w:val="ListParagraph"/>
              <w:numPr>
                <w:ilvl w:val="0"/>
                <w:numId w:val="1"/>
              </w:numPr>
            </w:pPr>
            <w:r>
              <w:t xml:space="preserve">US and EU approval </w:t>
            </w:r>
            <w:r w:rsidR="002B6A22">
              <w:t xml:space="preserve">of ami/laz </w:t>
            </w:r>
            <w:r w:rsidR="00B3257B">
              <w:t xml:space="preserve">was based on </w:t>
            </w:r>
            <w:r w:rsidR="00C81765">
              <w:t xml:space="preserve">P3 MARIPOSA </w:t>
            </w:r>
            <w:r w:rsidR="00126C89">
              <w:t>showing</w:t>
            </w:r>
            <w:r w:rsidR="00A41A56">
              <w:t xml:space="preserve"> </w:t>
            </w:r>
            <w:r w:rsidR="00C81765">
              <w:t xml:space="preserve">mPFS </w:t>
            </w:r>
            <w:r w:rsidR="009D7C5E">
              <w:t xml:space="preserve">vs osimertinib </w:t>
            </w:r>
            <w:r w:rsidR="00C81765">
              <w:t>23.7 vs 16.6</w:t>
            </w:r>
            <w:r w:rsidR="009D7C5E">
              <w:t xml:space="preserve"> </w:t>
            </w:r>
            <w:r w:rsidR="00C81765">
              <w:t>m</w:t>
            </w:r>
            <w:r w:rsidR="009D7C5E">
              <w:t>os</w:t>
            </w:r>
            <w:r w:rsidR="00530491">
              <w:t xml:space="preserve"> (</w:t>
            </w:r>
            <w:r w:rsidR="00C81765">
              <w:t>HR .70</w:t>
            </w:r>
            <w:r w:rsidR="00126C89">
              <w:t>; N=1074</w:t>
            </w:r>
            <w:r w:rsidR="00C81765">
              <w:t>)</w:t>
            </w:r>
            <w:r w:rsidR="00145AB2">
              <w:t xml:space="preserve">. </w:t>
            </w:r>
            <w:r w:rsidR="006A35EA">
              <w:t xml:space="preserve">The study </w:t>
            </w:r>
            <w:r w:rsidR="00C24A85">
              <w:t>also showed a positive trend in OS (HR .77; WCLC 2024)</w:t>
            </w:r>
            <w:r w:rsidR="00546378">
              <w:t xml:space="preserve"> </w:t>
            </w:r>
          </w:p>
          <w:p w14:paraId="2963561F" w14:textId="3908B3BF" w:rsidR="003C2730" w:rsidRPr="00A03655" w:rsidRDefault="00321336" w:rsidP="00282D8C">
            <w:pPr>
              <w:pStyle w:val="ListParagraph"/>
              <w:numPr>
                <w:ilvl w:val="0"/>
                <w:numId w:val="1"/>
              </w:numPr>
            </w:pPr>
            <w:r w:rsidRPr="004141C1">
              <w:rPr>
                <w:b/>
                <w:bCs/>
              </w:rPr>
              <w:t>mOS from a third approved regimen in 1L EGFRm, osi + chemo, is not available</w:t>
            </w:r>
            <w:r w:rsidR="004141C1">
              <w:rPr>
                <w:b/>
                <w:bCs/>
              </w:rPr>
              <w:t xml:space="preserve"> but expected to be released imminently</w:t>
            </w:r>
            <w:r w:rsidR="00AE5384">
              <w:rPr>
                <w:b/>
                <w:bCs/>
              </w:rPr>
              <w:t xml:space="preserve"> based on </w:t>
            </w:r>
            <w:r w:rsidR="00300349" w:rsidRPr="004141C1">
              <w:rPr>
                <w:b/>
                <w:bCs/>
              </w:rPr>
              <w:t>the P3 FLAURA2 study</w:t>
            </w:r>
            <w:r w:rsidR="00AE5384">
              <w:rPr>
                <w:b/>
                <w:bCs/>
              </w:rPr>
              <w:t xml:space="preserve">. </w:t>
            </w:r>
            <w:r w:rsidR="00BF533D">
              <w:rPr>
                <w:b/>
                <w:bCs/>
              </w:rPr>
              <w:t>OS outcomes</w:t>
            </w:r>
            <w:r w:rsidR="005D5289">
              <w:rPr>
                <w:b/>
                <w:bCs/>
              </w:rPr>
              <w:t xml:space="preserve"> </w:t>
            </w:r>
            <w:r w:rsidR="0067260C">
              <w:rPr>
                <w:b/>
                <w:bCs/>
              </w:rPr>
              <w:t>FLAURA2</w:t>
            </w:r>
            <w:r w:rsidR="005D5289">
              <w:rPr>
                <w:b/>
                <w:bCs/>
              </w:rPr>
              <w:t xml:space="preserve"> are</w:t>
            </w:r>
            <w:r w:rsidR="000138A4" w:rsidRPr="004141C1">
              <w:rPr>
                <w:b/>
                <w:bCs/>
              </w:rPr>
              <w:t xml:space="preserve"> also trending </w:t>
            </w:r>
            <w:r w:rsidR="00B73F38" w:rsidRPr="004141C1">
              <w:rPr>
                <w:b/>
                <w:bCs/>
              </w:rPr>
              <w:t>toward positive</w:t>
            </w:r>
            <w:r w:rsidR="00BE3CFD">
              <w:rPr>
                <w:b/>
                <w:bCs/>
              </w:rPr>
              <w:t>, with HR .75 (</w:t>
            </w:r>
            <w:hyperlink r:id="rId12" w:history="1">
              <w:r w:rsidR="0067260C" w:rsidRPr="0067260C">
                <w:rPr>
                  <w:rStyle w:val="Hyperlink"/>
                  <w:b/>
                  <w:bCs/>
                </w:rPr>
                <w:t>press release</w:t>
              </w:r>
            </w:hyperlink>
            <w:r w:rsidR="00B73F38" w:rsidRPr="004141C1">
              <w:rPr>
                <w:b/>
                <w:bCs/>
              </w:rPr>
              <w:t>)</w:t>
            </w:r>
            <w:r w:rsidR="002E56C2">
              <w:rPr>
                <w:b/>
                <w:bCs/>
              </w:rPr>
              <w:t xml:space="preserve"> vs osi mono</w:t>
            </w:r>
            <w:r w:rsidR="0003294D">
              <w:rPr>
                <w:b/>
                <w:bCs/>
              </w:rPr>
              <w:t xml:space="preserve">, </w:t>
            </w:r>
            <w:r w:rsidR="00A03655">
              <w:t>with</w:t>
            </w:r>
            <w:r w:rsidR="0003294D" w:rsidRPr="00A03655">
              <w:t xml:space="preserve"> mPFS</w:t>
            </w:r>
            <w:r w:rsidR="00A523AD" w:rsidRPr="00A03655">
              <w:t xml:space="preserve"> </w:t>
            </w:r>
            <w:r w:rsidR="00251891" w:rsidRPr="00A03655">
              <w:t xml:space="preserve">29.4 vs </w:t>
            </w:r>
            <w:r w:rsidR="00A85265" w:rsidRPr="00A03655">
              <w:t>19.9 mos</w:t>
            </w:r>
            <w:r w:rsidR="00343269">
              <w:t>; with mPFS outcomes surpassing the results of MARIPOSA</w:t>
            </w:r>
            <w:r w:rsidR="00F31D9F">
              <w:t>, os</w:t>
            </w:r>
            <w:r w:rsidR="00DA0811">
              <w:t xml:space="preserve">i+CT </w:t>
            </w:r>
            <w:r w:rsidR="00EB0AF4">
              <w:t>may also report OS outcomes superior to MARIPOSA results</w:t>
            </w:r>
          </w:p>
          <w:p w14:paraId="1D02E247" w14:textId="6575A350" w:rsidR="00FA6F5E" w:rsidRDefault="00FA6F5E" w:rsidP="00CE13EA">
            <w:pPr>
              <w:pStyle w:val="ListParagraph"/>
              <w:numPr>
                <w:ilvl w:val="0"/>
                <w:numId w:val="1"/>
              </w:numPr>
            </w:pPr>
            <w:r>
              <w:t>Amivantamab + lazertinib was associated with worse safety profile vs osimertinib: Gr≥3 AE 75% vs 43%</w:t>
            </w:r>
            <w:r w:rsidR="005A3558">
              <w:t xml:space="preserve">. </w:t>
            </w:r>
            <w:r>
              <w:t>Infusion-related reactions occurred in 63% of the patients treated with ami + laz</w:t>
            </w:r>
            <w:r w:rsidR="002B458D">
              <w:t>. V</w:t>
            </w:r>
            <w:r>
              <w:t>enous thromboembolic adverse events were reported in 37% of the patients</w:t>
            </w:r>
            <w:r w:rsidR="00B27FFE">
              <w:t xml:space="preserve">, </w:t>
            </w:r>
            <w:r w:rsidR="003D487D">
              <w:t>an outcome that led to the US label recommending</w:t>
            </w:r>
            <w:r w:rsidR="00B27FFE">
              <w:t xml:space="preserve"> </w:t>
            </w:r>
            <w:r w:rsidR="002B458D">
              <w:t xml:space="preserve">anticoagulant </w:t>
            </w:r>
            <w:r w:rsidR="00EA52FD">
              <w:t>prophylaxis</w:t>
            </w:r>
            <w:r w:rsidR="003D487D">
              <w:t xml:space="preserve"> for the first four months of treatment with the combination</w:t>
            </w:r>
            <w:r w:rsidR="002B458D">
              <w:t xml:space="preserve"> </w:t>
            </w:r>
          </w:p>
          <w:p w14:paraId="170096D3" w14:textId="49FBA1E7" w:rsidR="00DA4CAA" w:rsidRPr="00F0203D" w:rsidRDefault="00DA4CAA" w:rsidP="00E05B22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  <w:r w:rsidRPr="00F0203D">
              <w:rPr>
                <w:b/>
                <w:bCs/>
              </w:rPr>
              <w:t xml:space="preserve">JNJ had planned to address </w:t>
            </w:r>
            <w:r w:rsidR="00053E25" w:rsidRPr="00F0203D">
              <w:rPr>
                <w:b/>
                <w:bCs/>
              </w:rPr>
              <w:t>IRR</w:t>
            </w:r>
            <w:r w:rsidRPr="00F0203D">
              <w:rPr>
                <w:b/>
                <w:bCs/>
              </w:rPr>
              <w:t xml:space="preserve"> concerns with a new subcutaneous </w:t>
            </w:r>
            <w:r w:rsidR="00E05B22" w:rsidRPr="00F0203D">
              <w:rPr>
                <w:b/>
                <w:bCs/>
              </w:rPr>
              <w:t>formulation</w:t>
            </w:r>
            <w:r w:rsidRPr="00F0203D">
              <w:rPr>
                <w:b/>
                <w:bCs/>
              </w:rPr>
              <w:t xml:space="preserve">, however, the </w:t>
            </w:r>
            <w:hyperlink r:id="rId13" w:history="1">
              <w:r w:rsidRPr="00F0203D">
                <w:rPr>
                  <w:rStyle w:val="Hyperlink"/>
                  <w:b/>
                  <w:bCs/>
                </w:rPr>
                <w:t>news</w:t>
              </w:r>
            </w:hyperlink>
            <w:r w:rsidRPr="00F0203D">
              <w:rPr>
                <w:b/>
                <w:bCs/>
              </w:rPr>
              <w:t xml:space="preserve"> of </w:t>
            </w:r>
            <w:r w:rsidR="00DC166C" w:rsidRPr="00F0203D">
              <w:rPr>
                <w:b/>
                <w:bCs/>
              </w:rPr>
              <w:t xml:space="preserve">FDA complete response letter </w:t>
            </w:r>
            <w:r w:rsidR="005B5031" w:rsidRPr="00F0203D">
              <w:rPr>
                <w:b/>
                <w:bCs/>
              </w:rPr>
              <w:t xml:space="preserve">due to manufacturing concerns will require a new application and </w:t>
            </w:r>
            <w:r w:rsidRPr="00F0203D">
              <w:rPr>
                <w:b/>
                <w:bCs/>
              </w:rPr>
              <w:t xml:space="preserve">delays in availability of </w:t>
            </w:r>
            <w:r w:rsidR="00053E25" w:rsidRPr="00F0203D">
              <w:rPr>
                <w:b/>
                <w:bCs/>
              </w:rPr>
              <w:t>SC</w:t>
            </w:r>
            <w:r w:rsidRPr="00F0203D">
              <w:rPr>
                <w:b/>
                <w:bCs/>
              </w:rPr>
              <w:t xml:space="preserve"> formulation</w:t>
            </w:r>
          </w:p>
          <w:p w14:paraId="2387DCB1" w14:textId="77777777" w:rsidR="007C110D" w:rsidRDefault="007C110D"/>
        </w:tc>
        <w:tc>
          <w:tcPr>
            <w:tcW w:w="715" w:type="dxa"/>
          </w:tcPr>
          <w:p w14:paraId="2E2A2B06" w14:textId="77777777" w:rsidR="007C110D" w:rsidRDefault="007C110D" w:rsidP="00CC22C8">
            <w:pPr>
              <w:ind w:left="1440"/>
            </w:pPr>
          </w:p>
        </w:tc>
      </w:tr>
      <w:tr w:rsidR="007C110D" w14:paraId="7843F329" w14:textId="77777777" w:rsidTr="007028CA">
        <w:tc>
          <w:tcPr>
            <w:tcW w:w="715" w:type="dxa"/>
          </w:tcPr>
          <w:p w14:paraId="0E5D1D6E" w14:textId="77777777" w:rsidR="007C110D" w:rsidRDefault="007C110D"/>
        </w:tc>
        <w:tc>
          <w:tcPr>
            <w:tcW w:w="7920" w:type="dxa"/>
          </w:tcPr>
          <w:p w14:paraId="253EC746" w14:textId="77777777" w:rsidR="007C110D" w:rsidRDefault="007C110D"/>
        </w:tc>
        <w:tc>
          <w:tcPr>
            <w:tcW w:w="715" w:type="dxa"/>
          </w:tcPr>
          <w:p w14:paraId="746F98C0" w14:textId="77777777" w:rsidR="007C110D" w:rsidRDefault="007C110D"/>
        </w:tc>
      </w:tr>
    </w:tbl>
    <w:p w14:paraId="4C21FBF6" w14:textId="77777777" w:rsidR="0019068D" w:rsidRDefault="0019068D"/>
    <w:sectPr w:rsidR="00190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878151">
    <w:abstractNumId w:val="0"/>
  </w:num>
  <w:num w:numId="2" w16cid:durableId="2085175976">
    <w:abstractNumId w:val="3"/>
  </w:num>
  <w:num w:numId="3" w16cid:durableId="412892921">
    <w:abstractNumId w:val="1"/>
  </w:num>
  <w:num w:numId="4" w16cid:durableId="152332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37DA"/>
    <w:rsid w:val="000138A4"/>
    <w:rsid w:val="00014995"/>
    <w:rsid w:val="0001529C"/>
    <w:rsid w:val="000235B7"/>
    <w:rsid w:val="000250F5"/>
    <w:rsid w:val="0003294D"/>
    <w:rsid w:val="00043BF2"/>
    <w:rsid w:val="00053E25"/>
    <w:rsid w:val="00067937"/>
    <w:rsid w:val="0008103E"/>
    <w:rsid w:val="00093E6E"/>
    <w:rsid w:val="000942EB"/>
    <w:rsid w:val="000A2023"/>
    <w:rsid w:val="000A71CF"/>
    <w:rsid w:val="000B6252"/>
    <w:rsid w:val="000B6B12"/>
    <w:rsid w:val="000C6FDD"/>
    <w:rsid w:val="000D2486"/>
    <w:rsid w:val="000E1255"/>
    <w:rsid w:val="000E206C"/>
    <w:rsid w:val="000E4CD7"/>
    <w:rsid w:val="000E55DA"/>
    <w:rsid w:val="000F0CF0"/>
    <w:rsid w:val="000F3946"/>
    <w:rsid w:val="0010252A"/>
    <w:rsid w:val="0010265A"/>
    <w:rsid w:val="00106769"/>
    <w:rsid w:val="00110F90"/>
    <w:rsid w:val="00122B2E"/>
    <w:rsid w:val="00126C89"/>
    <w:rsid w:val="00130CA1"/>
    <w:rsid w:val="001447D5"/>
    <w:rsid w:val="00145AB2"/>
    <w:rsid w:val="00162BA8"/>
    <w:rsid w:val="00165ED2"/>
    <w:rsid w:val="00175CCF"/>
    <w:rsid w:val="0018210D"/>
    <w:rsid w:val="00186EFB"/>
    <w:rsid w:val="0019068D"/>
    <w:rsid w:val="001A27A4"/>
    <w:rsid w:val="001A5ABE"/>
    <w:rsid w:val="001A6726"/>
    <w:rsid w:val="001B3561"/>
    <w:rsid w:val="001B39A3"/>
    <w:rsid w:val="001C0886"/>
    <w:rsid w:val="001C198C"/>
    <w:rsid w:val="001C4835"/>
    <w:rsid w:val="001C48E0"/>
    <w:rsid w:val="001C5132"/>
    <w:rsid w:val="001E5DBE"/>
    <w:rsid w:val="001F7E6B"/>
    <w:rsid w:val="0021216A"/>
    <w:rsid w:val="002130AA"/>
    <w:rsid w:val="00221297"/>
    <w:rsid w:val="002236AB"/>
    <w:rsid w:val="0022746A"/>
    <w:rsid w:val="002300E2"/>
    <w:rsid w:val="00233A5E"/>
    <w:rsid w:val="00251891"/>
    <w:rsid w:val="00264DDA"/>
    <w:rsid w:val="0026632C"/>
    <w:rsid w:val="00275445"/>
    <w:rsid w:val="00282D8C"/>
    <w:rsid w:val="002949C7"/>
    <w:rsid w:val="00297AE1"/>
    <w:rsid w:val="002A7433"/>
    <w:rsid w:val="002B33C3"/>
    <w:rsid w:val="002B458D"/>
    <w:rsid w:val="002B6A22"/>
    <w:rsid w:val="002E56C2"/>
    <w:rsid w:val="002F7071"/>
    <w:rsid w:val="00300349"/>
    <w:rsid w:val="003008FB"/>
    <w:rsid w:val="00300CE9"/>
    <w:rsid w:val="0031701A"/>
    <w:rsid w:val="00321336"/>
    <w:rsid w:val="00323F3D"/>
    <w:rsid w:val="00343269"/>
    <w:rsid w:val="0034403B"/>
    <w:rsid w:val="00383387"/>
    <w:rsid w:val="0039603D"/>
    <w:rsid w:val="003C2730"/>
    <w:rsid w:val="003D2CB2"/>
    <w:rsid w:val="003D487D"/>
    <w:rsid w:val="003E6F47"/>
    <w:rsid w:val="003F1196"/>
    <w:rsid w:val="003F3D04"/>
    <w:rsid w:val="004141C1"/>
    <w:rsid w:val="00414349"/>
    <w:rsid w:val="00415577"/>
    <w:rsid w:val="00422A7C"/>
    <w:rsid w:val="004235AF"/>
    <w:rsid w:val="004404FC"/>
    <w:rsid w:val="004428E8"/>
    <w:rsid w:val="00442EEF"/>
    <w:rsid w:val="004514EA"/>
    <w:rsid w:val="004532A6"/>
    <w:rsid w:val="004806EE"/>
    <w:rsid w:val="00487BFA"/>
    <w:rsid w:val="00495DCF"/>
    <w:rsid w:val="004A6F30"/>
    <w:rsid w:val="004B24DD"/>
    <w:rsid w:val="004C3C46"/>
    <w:rsid w:val="004C4F75"/>
    <w:rsid w:val="004C7E3F"/>
    <w:rsid w:val="004F1383"/>
    <w:rsid w:val="004F2C40"/>
    <w:rsid w:val="00515FCB"/>
    <w:rsid w:val="00530491"/>
    <w:rsid w:val="005346CC"/>
    <w:rsid w:val="005421CF"/>
    <w:rsid w:val="00543D28"/>
    <w:rsid w:val="00546378"/>
    <w:rsid w:val="00546A4C"/>
    <w:rsid w:val="00563280"/>
    <w:rsid w:val="005770AA"/>
    <w:rsid w:val="005905C3"/>
    <w:rsid w:val="0059777A"/>
    <w:rsid w:val="005A301B"/>
    <w:rsid w:val="005A3558"/>
    <w:rsid w:val="005B5031"/>
    <w:rsid w:val="005B7D72"/>
    <w:rsid w:val="005D015E"/>
    <w:rsid w:val="005D2F3E"/>
    <w:rsid w:val="005D5289"/>
    <w:rsid w:val="005F7C29"/>
    <w:rsid w:val="006071B2"/>
    <w:rsid w:val="00640EA2"/>
    <w:rsid w:val="0066273E"/>
    <w:rsid w:val="00664391"/>
    <w:rsid w:val="00666FBF"/>
    <w:rsid w:val="0067260C"/>
    <w:rsid w:val="006753F0"/>
    <w:rsid w:val="00676A21"/>
    <w:rsid w:val="00677FDC"/>
    <w:rsid w:val="00680037"/>
    <w:rsid w:val="00680543"/>
    <w:rsid w:val="00680F9D"/>
    <w:rsid w:val="006821D8"/>
    <w:rsid w:val="00686A99"/>
    <w:rsid w:val="00687B83"/>
    <w:rsid w:val="006A35EA"/>
    <w:rsid w:val="006C646D"/>
    <w:rsid w:val="006D3A51"/>
    <w:rsid w:val="006D5A16"/>
    <w:rsid w:val="006D70D3"/>
    <w:rsid w:val="006F127C"/>
    <w:rsid w:val="006F3C54"/>
    <w:rsid w:val="0070198F"/>
    <w:rsid w:val="007028CA"/>
    <w:rsid w:val="00705766"/>
    <w:rsid w:val="0071737B"/>
    <w:rsid w:val="00720A41"/>
    <w:rsid w:val="007214FE"/>
    <w:rsid w:val="00723F43"/>
    <w:rsid w:val="00735C2F"/>
    <w:rsid w:val="00737669"/>
    <w:rsid w:val="00742AAA"/>
    <w:rsid w:val="00756D0E"/>
    <w:rsid w:val="007571FC"/>
    <w:rsid w:val="00764D81"/>
    <w:rsid w:val="00775A88"/>
    <w:rsid w:val="00793810"/>
    <w:rsid w:val="007A0343"/>
    <w:rsid w:val="007A0903"/>
    <w:rsid w:val="007A4890"/>
    <w:rsid w:val="007B73BA"/>
    <w:rsid w:val="007C02A0"/>
    <w:rsid w:val="007C110D"/>
    <w:rsid w:val="007D0042"/>
    <w:rsid w:val="007D4E3E"/>
    <w:rsid w:val="007D5803"/>
    <w:rsid w:val="007D6B65"/>
    <w:rsid w:val="007E7055"/>
    <w:rsid w:val="007E7538"/>
    <w:rsid w:val="00804168"/>
    <w:rsid w:val="00813913"/>
    <w:rsid w:val="00815A14"/>
    <w:rsid w:val="00824E1F"/>
    <w:rsid w:val="00826886"/>
    <w:rsid w:val="0084075C"/>
    <w:rsid w:val="00841190"/>
    <w:rsid w:val="00861A91"/>
    <w:rsid w:val="00867E6C"/>
    <w:rsid w:val="00881803"/>
    <w:rsid w:val="0088472F"/>
    <w:rsid w:val="008937AD"/>
    <w:rsid w:val="008C7C28"/>
    <w:rsid w:val="008D1A42"/>
    <w:rsid w:val="008D7574"/>
    <w:rsid w:val="008E0E80"/>
    <w:rsid w:val="008E1213"/>
    <w:rsid w:val="008E6F8A"/>
    <w:rsid w:val="008F008A"/>
    <w:rsid w:val="008F704D"/>
    <w:rsid w:val="009063B7"/>
    <w:rsid w:val="00913CB5"/>
    <w:rsid w:val="00920AF1"/>
    <w:rsid w:val="00932425"/>
    <w:rsid w:val="00951FAB"/>
    <w:rsid w:val="009874FC"/>
    <w:rsid w:val="009B0D51"/>
    <w:rsid w:val="009D7C5E"/>
    <w:rsid w:val="009E1814"/>
    <w:rsid w:val="009E4E72"/>
    <w:rsid w:val="009E7827"/>
    <w:rsid w:val="009F3E21"/>
    <w:rsid w:val="00A03655"/>
    <w:rsid w:val="00A067C9"/>
    <w:rsid w:val="00A16A0E"/>
    <w:rsid w:val="00A41A56"/>
    <w:rsid w:val="00A46257"/>
    <w:rsid w:val="00A523AD"/>
    <w:rsid w:val="00A66ED6"/>
    <w:rsid w:val="00A71EDE"/>
    <w:rsid w:val="00A80176"/>
    <w:rsid w:val="00A80B7E"/>
    <w:rsid w:val="00A8423E"/>
    <w:rsid w:val="00A85265"/>
    <w:rsid w:val="00AA04E7"/>
    <w:rsid w:val="00AB3564"/>
    <w:rsid w:val="00AB3BD6"/>
    <w:rsid w:val="00AD0489"/>
    <w:rsid w:val="00AD1812"/>
    <w:rsid w:val="00AE5384"/>
    <w:rsid w:val="00AF5ED0"/>
    <w:rsid w:val="00B1653C"/>
    <w:rsid w:val="00B23765"/>
    <w:rsid w:val="00B27117"/>
    <w:rsid w:val="00B27FFE"/>
    <w:rsid w:val="00B31F5D"/>
    <w:rsid w:val="00B3257B"/>
    <w:rsid w:val="00B557B6"/>
    <w:rsid w:val="00B72D10"/>
    <w:rsid w:val="00B73F38"/>
    <w:rsid w:val="00B7698A"/>
    <w:rsid w:val="00B82F50"/>
    <w:rsid w:val="00B96DD1"/>
    <w:rsid w:val="00B97556"/>
    <w:rsid w:val="00BA2CF5"/>
    <w:rsid w:val="00BC2464"/>
    <w:rsid w:val="00BC6E66"/>
    <w:rsid w:val="00BD4A03"/>
    <w:rsid w:val="00BD61C4"/>
    <w:rsid w:val="00BE128A"/>
    <w:rsid w:val="00BE346F"/>
    <w:rsid w:val="00BE3CFD"/>
    <w:rsid w:val="00BE4700"/>
    <w:rsid w:val="00BF3275"/>
    <w:rsid w:val="00BF406E"/>
    <w:rsid w:val="00BF533D"/>
    <w:rsid w:val="00C070CA"/>
    <w:rsid w:val="00C12AA2"/>
    <w:rsid w:val="00C134CC"/>
    <w:rsid w:val="00C164E2"/>
    <w:rsid w:val="00C24A5E"/>
    <w:rsid w:val="00C24A85"/>
    <w:rsid w:val="00C25F35"/>
    <w:rsid w:val="00C278B9"/>
    <w:rsid w:val="00C27B7B"/>
    <w:rsid w:val="00C34E7F"/>
    <w:rsid w:val="00C43C80"/>
    <w:rsid w:val="00C47D9B"/>
    <w:rsid w:val="00C54A0A"/>
    <w:rsid w:val="00C746FA"/>
    <w:rsid w:val="00C81765"/>
    <w:rsid w:val="00C84FA5"/>
    <w:rsid w:val="00C93EF5"/>
    <w:rsid w:val="00C947F0"/>
    <w:rsid w:val="00CA52F5"/>
    <w:rsid w:val="00CC0C8B"/>
    <w:rsid w:val="00CC22C8"/>
    <w:rsid w:val="00CD2130"/>
    <w:rsid w:val="00CE13EA"/>
    <w:rsid w:val="00CF188C"/>
    <w:rsid w:val="00D03B8F"/>
    <w:rsid w:val="00D079C2"/>
    <w:rsid w:val="00D55632"/>
    <w:rsid w:val="00D61945"/>
    <w:rsid w:val="00D95C09"/>
    <w:rsid w:val="00DA0811"/>
    <w:rsid w:val="00DA1F79"/>
    <w:rsid w:val="00DA4CAA"/>
    <w:rsid w:val="00DC04FD"/>
    <w:rsid w:val="00DC166C"/>
    <w:rsid w:val="00DD032E"/>
    <w:rsid w:val="00DE3B08"/>
    <w:rsid w:val="00E02B80"/>
    <w:rsid w:val="00E05B22"/>
    <w:rsid w:val="00E11FA8"/>
    <w:rsid w:val="00E17CBF"/>
    <w:rsid w:val="00E27472"/>
    <w:rsid w:val="00E44BF1"/>
    <w:rsid w:val="00E45F26"/>
    <w:rsid w:val="00E548C7"/>
    <w:rsid w:val="00E836CF"/>
    <w:rsid w:val="00E87953"/>
    <w:rsid w:val="00E90EA3"/>
    <w:rsid w:val="00EA52FD"/>
    <w:rsid w:val="00EA74BF"/>
    <w:rsid w:val="00EB014B"/>
    <w:rsid w:val="00EB0AF4"/>
    <w:rsid w:val="00EB70EF"/>
    <w:rsid w:val="00ED1468"/>
    <w:rsid w:val="00ED17AB"/>
    <w:rsid w:val="00ED187D"/>
    <w:rsid w:val="00ED4203"/>
    <w:rsid w:val="00ED5534"/>
    <w:rsid w:val="00ED6B69"/>
    <w:rsid w:val="00EE2CF1"/>
    <w:rsid w:val="00EE302B"/>
    <w:rsid w:val="00EF4C47"/>
    <w:rsid w:val="00F0203D"/>
    <w:rsid w:val="00F2447F"/>
    <w:rsid w:val="00F31B24"/>
    <w:rsid w:val="00F31D9F"/>
    <w:rsid w:val="00F35160"/>
    <w:rsid w:val="00F40F74"/>
    <w:rsid w:val="00F446ED"/>
    <w:rsid w:val="00F45C31"/>
    <w:rsid w:val="00F63286"/>
    <w:rsid w:val="00F701D5"/>
    <w:rsid w:val="00F763C0"/>
    <w:rsid w:val="00F77AE4"/>
    <w:rsid w:val="00F863E3"/>
    <w:rsid w:val="00F92A7C"/>
    <w:rsid w:val="00F92F59"/>
    <w:rsid w:val="00FA4C7B"/>
    <w:rsid w:val="00FA6F5E"/>
    <w:rsid w:val="00FB7107"/>
    <w:rsid w:val="00FC3B70"/>
    <w:rsid w:val="00FD04E9"/>
    <w:rsid w:val="00FD5D0D"/>
    <w:rsid w:val="00FE6FCD"/>
    <w:rsid w:val="00FF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A9CE15F2-37B6-489F-A2EA-FFDF4669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jnj.com/media-center/press-releases/update-on-u-s-regulatory-review-of-subcutaneous-amivantamab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astrazeneca.com/media-centre/press-releases/2024/tagrisso-plus-chemo-approved-in-us-for-lung-cancer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nccn.org/professionals/physician_gls/pdf/nscl.pdf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investor.jnj.com/news/news-details/2025/RYBREVANT-amivantamab-vmjw-plus-LAZCLUZE-lazertinib-show-statistically-significant-and-clinically-meaningful-improvement-in-overall-survival-versus-osimertinib/default.aspx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BD93D45B-7F1D-4C49-A675-58350A1C4706}"/>
</file>

<file path=customXml/itemProps2.xml><?xml version="1.0" encoding="utf-8"?>
<ds:datastoreItem xmlns:ds="http://schemas.openxmlformats.org/officeDocument/2006/customXml" ds:itemID="{209E2CDD-ECEB-42BA-8E64-69E5AE9F48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C32BFF-6D0A-4172-B557-54D90CAF4755}">
  <ds:schemaRefs>
    <ds:schemaRef ds:uri="http://schemas.microsoft.com/office/2006/metadata/properties"/>
    <ds:schemaRef ds:uri="http://schemas.microsoft.com/office/infopath/2007/PartnerControls"/>
    <ds:schemaRef ds:uri="7104cb0c-1319-4207-a9b8-e706b9e41b82"/>
    <ds:schemaRef ds:uri="4354fadf-993e-4185-b1da-ba2eaec282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384</Words>
  <Characters>2193</Characters>
  <Application>Microsoft Office Word</Application>
  <DocSecurity>4</DocSecurity>
  <Lines>18</Lines>
  <Paragraphs>5</Paragraphs>
  <ScaleCrop>false</ScaleCrop>
  <Company/>
  <LinksUpToDate>false</LinksUpToDate>
  <CharactersWithSpaces>2572</CharactersWithSpaces>
  <SharedDoc>false</SharedDoc>
  <HLinks>
    <vt:vector size="24" baseType="variant">
      <vt:variant>
        <vt:i4>7274598</vt:i4>
      </vt:variant>
      <vt:variant>
        <vt:i4>9</vt:i4>
      </vt:variant>
      <vt:variant>
        <vt:i4>0</vt:i4>
      </vt:variant>
      <vt:variant>
        <vt:i4>5</vt:i4>
      </vt:variant>
      <vt:variant>
        <vt:lpwstr>https://www.jnj.com/media-center/press-releases/update-on-u-s-regulatory-review-of-subcutaneous-amivantamab</vt:lpwstr>
      </vt:variant>
      <vt:variant>
        <vt:lpwstr/>
      </vt:variant>
      <vt:variant>
        <vt:i4>917510</vt:i4>
      </vt:variant>
      <vt:variant>
        <vt:i4>6</vt:i4>
      </vt:variant>
      <vt:variant>
        <vt:i4>0</vt:i4>
      </vt:variant>
      <vt:variant>
        <vt:i4>5</vt:i4>
      </vt:variant>
      <vt:variant>
        <vt:lpwstr>https://www.astrazeneca.com/media-centre/press-releases/2024/tagrisso-plus-chemo-approved-in-us-for-lung-cancer.html</vt:lpwstr>
      </vt:variant>
      <vt:variant>
        <vt:lpwstr/>
      </vt:variant>
      <vt:variant>
        <vt:i4>1769532</vt:i4>
      </vt:variant>
      <vt:variant>
        <vt:i4>3</vt:i4>
      </vt:variant>
      <vt:variant>
        <vt:i4>0</vt:i4>
      </vt:variant>
      <vt:variant>
        <vt:i4>5</vt:i4>
      </vt:variant>
      <vt:variant>
        <vt:lpwstr>https://www.nccn.org/professionals/physician_gls/pdf/nscl.pdf</vt:lpwstr>
      </vt:variant>
      <vt:variant>
        <vt:lpwstr/>
      </vt:variant>
      <vt:variant>
        <vt:i4>4653121</vt:i4>
      </vt:variant>
      <vt:variant>
        <vt:i4>0</vt:i4>
      </vt:variant>
      <vt:variant>
        <vt:i4>0</vt:i4>
      </vt:variant>
      <vt:variant>
        <vt:i4>5</vt:i4>
      </vt:variant>
      <vt:variant>
        <vt:lpwstr>https://www.investor.jnj.com/news/news-details/2025/RYBREVANT-amivantamab-vmjw-plus-LAZCLUZE-lazertinib-show-statistically-significant-and-clinically-meaningful-improvement-in-overall-survival-versus-osimertinib/default.aspx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104</cp:revision>
  <dcterms:created xsi:type="dcterms:W3CDTF">2025-01-08T18:51:00Z</dcterms:created>
  <dcterms:modified xsi:type="dcterms:W3CDTF">2025-01-08T21:55:00Z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