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8158"/>
        <w:gridCol w:w="600"/>
      </w:tblGrid>
      <w:tr w:rsidRPr="00C17C57" w:rsidR="00C17C57" w:rsidTr="15E812E2" w14:paraId="721CD5FC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3B5A609C" w14:textId="6E048208"/>
          <w:p w:rsidRPr="00C17C57" w:rsidR="00C17C57" w:rsidP="00C17C57" w:rsidRDefault="00C17C57" w14:paraId="2BD260D3" w14:textId="2AB042C9"/>
        </w:tc>
        <w:tc>
          <w:tcPr>
            <w:tcW w:w="8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40D94D67" w14:textId="2813D721">
            <w:r w:rsidRPr="00C17C57">
              <w:rPr>
                <w:noProof/>
              </w:rPr>
              <w:drawing>
                <wp:inline distT="0" distB="0" distL="0" distR="0" wp14:anchorId="3AC41017" wp14:editId="60012C78">
                  <wp:extent cx="5029200" cy="889000"/>
                  <wp:effectExtent l="0" t="0" r="0" b="6350"/>
                  <wp:docPr id="8386355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C57"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6B7B3E95" w14:textId="77777777">
            <w:r w:rsidRPr="00C17C57">
              <w:t> </w:t>
            </w:r>
          </w:p>
        </w:tc>
      </w:tr>
      <w:tr w:rsidRPr="00C17C57" w:rsidR="00C17C57" w:rsidTr="15E812E2" w14:paraId="43FCAFC9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574A0820" w14:textId="77777777">
            <w:r w:rsidRPr="00C17C57">
              <w:t> </w:t>
            </w:r>
          </w:p>
        </w:tc>
        <w:tc>
          <w:tcPr>
            <w:tcW w:w="8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903BE6" w14:paraId="4E269CE6" w14:textId="600D3291">
            <w:r>
              <w:rPr>
                <w:noProof/>
              </w:rPr>
              <w:drawing>
                <wp:inline distT="0" distB="0" distL="0" distR="0" wp14:anchorId="7559CC60" wp14:editId="1A7758E3">
                  <wp:extent cx="1955548" cy="637540"/>
                  <wp:effectExtent l="0" t="0" r="0" b="0"/>
                  <wp:docPr id="2072264320" name="Picture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264320" name="Picture 6" descr="A close up of a logo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85" t="14048" b="26244"/>
                          <a:stretch/>
                        </pic:blipFill>
                        <pic:spPr bwMode="auto">
                          <a:xfrm>
                            <a:off x="0" y="0"/>
                            <a:ext cx="1986070" cy="64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3A5E0543" w14:textId="77777777">
            <w:r w:rsidRPr="00C17C57">
              <w:t> </w:t>
            </w:r>
          </w:p>
        </w:tc>
      </w:tr>
      <w:tr w:rsidRPr="00C17C57" w:rsidR="00C17C57" w:rsidTr="15E812E2" w14:paraId="7E0D28AE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4FF080B2" w14:textId="77777777">
            <w:r w:rsidRPr="00C17C57">
              <w:t> </w:t>
            </w:r>
          </w:p>
        </w:tc>
        <w:tc>
          <w:tcPr>
            <w:tcW w:w="8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5885FBDD" w14:textId="2608E881"/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271C26E7" w14:textId="77777777">
            <w:r w:rsidRPr="00C17C57">
              <w:t> </w:t>
            </w:r>
          </w:p>
        </w:tc>
      </w:tr>
      <w:tr w:rsidRPr="00C17C57" w:rsidR="00C17C57" w:rsidTr="15E812E2" w14:paraId="60317B21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59DEA753" w14:textId="77777777">
            <w:r w:rsidRPr="00C17C57">
              <w:t> </w:t>
            </w:r>
          </w:p>
        </w:tc>
        <w:tc>
          <w:tcPr>
            <w:tcW w:w="8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="00EE49A1" w:rsidP="00EE49A1" w:rsidRDefault="00EE49A1" w14:paraId="7BB42E04" w14:textId="77777777">
            <w:pPr>
              <w:rPr>
                <w:b/>
                <w:bCs/>
              </w:rPr>
            </w:pPr>
            <w:hyperlink w:history="1" r:id="rId10">
              <w:r>
                <w:rPr>
                  <w:rStyle w:val="Hyperlink"/>
                  <w:b/>
                  <w:bCs/>
                </w:rPr>
                <w:t>FDA Approves</w:t>
              </w:r>
            </w:hyperlink>
            <w:r>
              <w:rPr>
                <w:b/>
                <w:bCs/>
              </w:rPr>
              <w:t xml:space="preserve"> AZ/Daiichi’s TROP2 TOP1 ADC, </w:t>
            </w:r>
            <w:proofErr w:type="spellStart"/>
            <w:r>
              <w:rPr>
                <w:b/>
                <w:bCs/>
              </w:rPr>
              <w:t>Datopotamab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Deruxtecan</w:t>
            </w:r>
            <w:proofErr w:type="spellEnd"/>
            <w:r>
              <w:rPr>
                <w:b/>
                <w:bCs/>
              </w:rPr>
              <w:t xml:space="preserve"> (DATROWAY) in unresectable or metastatic, hormone receptor (HR)-positive, human epidermal growth factor receptor 2 (HER2)-negative breast cancer who have received prior endocrine-based therapy and chemotherapy for unresectable or metastatic disease. This is the </w:t>
            </w:r>
            <w:r>
              <w:rPr>
                <w:b/>
                <w:bCs/>
                <w:u w:val="single"/>
              </w:rPr>
              <w:t>first US approval</w:t>
            </w:r>
            <w:r>
              <w:rPr>
                <w:b/>
                <w:bCs/>
              </w:rPr>
              <w:t xml:space="preserve"> of Dato-</w:t>
            </w:r>
            <w:proofErr w:type="spellStart"/>
            <w:r>
              <w:rPr>
                <w:b/>
                <w:bCs/>
              </w:rPr>
              <w:t>DXd</w:t>
            </w:r>
            <w:proofErr w:type="spellEnd"/>
            <w:r>
              <w:rPr>
                <w:b/>
                <w:bCs/>
              </w:rPr>
              <w:t xml:space="preserve">. </w:t>
            </w:r>
          </w:p>
          <w:p w:rsidR="00EE49A1" w:rsidP="00EE49A1" w:rsidRDefault="00EE49A1" w14:paraId="4A563F3F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While DATROWAY demonstrated a 2mo PFS benefit (HR 0.63) over the control, the </w:t>
            </w:r>
            <w:r>
              <w:rPr>
                <w:rFonts w:eastAsia="Times New Roman"/>
                <w:u w:val="single"/>
              </w:rPr>
              <w:t>dual</w:t>
            </w:r>
            <w:r>
              <w:rPr>
                <w:rFonts w:eastAsia="Times New Roman"/>
              </w:rPr>
              <w:t xml:space="preserve"> primary endpoint of Overall Survival failed to show benefit (HR 1.01) </w:t>
            </w:r>
          </w:p>
          <w:p w:rsidR="00EE49A1" w:rsidP="00EE49A1" w:rsidRDefault="00EE49A1" w14:paraId="69C52E06" w14:textId="77777777">
            <w:pPr>
              <w:numPr>
                <w:ilvl w:val="0"/>
                <w:numId w:val="7"/>
              </w:numPr>
              <w:spacing w:after="120" w:line="240" w:lineRule="auto"/>
            </w:pPr>
            <w:r>
              <w:t xml:space="preserve">Although the TOP1 ADC, </w:t>
            </w:r>
            <w:proofErr w:type="spellStart"/>
            <w:r>
              <w:t>Trodelvy</w:t>
            </w:r>
            <w:proofErr w:type="spellEnd"/>
            <w:r>
              <w:t xml:space="preserve">, previously gained approval and demonstrated survival benefit in a similar population, DATROWAY patients are slightly </w:t>
            </w:r>
            <w:proofErr w:type="gramStart"/>
            <w:r>
              <w:t>less-pretreated</w:t>
            </w:r>
            <w:proofErr w:type="gramEnd"/>
          </w:p>
          <w:tbl>
            <w:tblPr>
              <w:tblW w:w="8138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9"/>
              <w:gridCol w:w="1617"/>
              <w:gridCol w:w="1617"/>
              <w:gridCol w:w="1617"/>
              <w:gridCol w:w="1618"/>
            </w:tblGrid>
            <w:tr w:rsidR="00EE49A1" w:rsidTr="00EE49A1" w14:paraId="6D476D79" w14:textId="77777777">
              <w:trPr>
                <w:trHeight w:val="260"/>
                <w:jc w:val="center"/>
              </w:trPr>
              <w:tc>
                <w:tcPr>
                  <w:tcW w:w="8138" w:type="dxa"/>
                  <w:gridSpan w:val="5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1F386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4C8389B9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FFFFFF"/>
                    </w:rPr>
                    <w:t xml:space="preserve">Select Efficacy Comparison (TROP2, TOP1 ADCs in HER2-, HR+, 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mBC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>)</w:t>
                  </w:r>
                </w:p>
              </w:tc>
            </w:tr>
            <w:tr w:rsidR="00EE49A1" w:rsidTr="00EE49A1" w14:paraId="1B30A02E" w14:textId="77777777">
              <w:trPr>
                <w:trHeight w:val="260"/>
                <w:jc w:val="center"/>
              </w:trPr>
              <w:tc>
                <w:tcPr>
                  <w:tcW w:w="1669" w:type="dxa"/>
                  <w:tcBorders>
                    <w:top w:val="nil"/>
                    <w:left w:val="single" w:color="auto" w:sz="8" w:space="0"/>
                    <w:bottom w:val="single" w:color="1F3864" w:sz="12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83FB10B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Trial</w:t>
                  </w: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single" w:color="1F3864" w:sz="12" w:space="0"/>
                    <w:right w:val="single" w:color="1F3864" w:sz="8" w:space="0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E77D706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TROPION-Breast01</w:t>
                  </w: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680EDD4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TROPiCS-02</w:t>
                  </w:r>
                </w:p>
              </w:tc>
            </w:tr>
            <w:tr w:rsidR="00EE49A1" w:rsidTr="00EE49A1" w14:paraId="2F69ACE4" w14:textId="77777777">
              <w:trPr>
                <w:trHeight w:val="396"/>
                <w:jc w:val="center"/>
              </w:trPr>
              <w:tc>
                <w:tcPr>
                  <w:tcW w:w="1669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37DC719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Patient Population</w:t>
                  </w: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B4BE15F" w14:textId="77777777">
                  <w:pPr>
                    <w:jc w:val="center"/>
                  </w:pPr>
                  <w:r>
                    <w:t xml:space="preserve">HR-positive, HER2-negative </w:t>
                  </w:r>
                  <w:r>
                    <w:rPr>
                      <w:b/>
                      <w:bCs/>
                    </w:rPr>
                    <w:t>(</w:t>
                  </w:r>
                  <w:r>
                    <w:t>IHC 0, IHC1+ or IHC2+/ISH-)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t xml:space="preserve">breast cancer; post-endocrine therapy and </w:t>
                  </w:r>
                  <w:r>
                    <w:rPr>
                      <w:b/>
                      <w:bCs/>
                      <w:u w:val="single"/>
                    </w:rPr>
                    <w:t>one or two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</w:rPr>
                    <w:t>chemotherapy</w:t>
                  </w:r>
                  <w:proofErr w:type="gramEnd"/>
                  <w:r>
                    <w:rPr>
                      <w:b/>
                      <w:bCs/>
                    </w:rPr>
                    <w:t xml:space="preserve"> in metastatic</w:t>
                  </w: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2911EACE" w14:textId="77777777">
                  <w:pPr>
                    <w:jc w:val="center"/>
                  </w:pPr>
                  <w:r>
                    <w:t>HR-positive, HER2-negative (IHC 0, IHC 1+ or IHC 2+/ISH–)</w:t>
                  </w:r>
                  <w:r>
                    <w:rPr>
                      <w:b/>
                      <w:bCs/>
                    </w:rPr>
                    <w:t xml:space="preserve"> post-CDK 4/6</w:t>
                  </w:r>
                  <w:r>
                    <w:t xml:space="preserve">, endocrine therapy and </w:t>
                  </w:r>
                  <w:r>
                    <w:rPr>
                      <w:b/>
                      <w:bCs/>
                      <w:u w:val="single"/>
                    </w:rPr>
                    <w:t>at least two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</w:rPr>
                    <w:t>chemotherapy</w:t>
                  </w:r>
                  <w:proofErr w:type="gramEnd"/>
                  <w:r>
                    <w:rPr>
                      <w:b/>
                      <w:bCs/>
                    </w:rPr>
                    <w:t xml:space="preserve"> in metastatic</w:t>
                  </w:r>
                </w:p>
              </w:tc>
            </w:tr>
            <w:tr w:rsidR="00EE49A1" w:rsidTr="00EE49A1" w14:paraId="0046850C" w14:textId="77777777">
              <w:trPr>
                <w:trHeight w:val="396"/>
                <w:jc w:val="center"/>
              </w:trPr>
              <w:tc>
                <w:tcPr>
                  <w:tcW w:w="1669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41A6852" w14:textId="77777777">
                  <w:pPr>
                    <w:ind w:left="144"/>
                    <w:rPr>
                      <w:b/>
                      <w:bCs/>
                    </w:rPr>
                  </w:pPr>
                  <w:r>
                    <w:rPr>
                      <w:i/>
                      <w:iCs/>
                      <w:color w:val="000000"/>
                    </w:rPr>
                    <w:t>Prior therapy</w:t>
                  </w: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single" w:color="1F3864" w:sz="12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420BBD4" w14:textId="77777777">
                  <w:pPr>
                    <w:jc w:val="center"/>
                  </w:pPr>
                  <w:r>
                    <w:rPr>
                      <w:b/>
                      <w:bCs/>
                    </w:rPr>
                    <w:t>Median 1 prior chemotherapy</w:t>
                  </w:r>
                  <w:r>
                    <w:t xml:space="preserve"> regimen in metastatic</w:t>
                  </w: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6D263AB" w14:textId="77777777">
                  <w:pPr>
                    <w:jc w:val="center"/>
                  </w:pPr>
                  <w:r>
                    <w:rPr>
                      <w:b/>
                      <w:bCs/>
                    </w:rPr>
                    <w:t>Median 3 prior chemotherapy</w:t>
                  </w:r>
                  <w:r>
                    <w:t xml:space="preserve"> regimen in metastatic</w:t>
                  </w:r>
                </w:p>
              </w:tc>
            </w:tr>
            <w:tr w:rsidR="00EE49A1" w:rsidTr="00EE49A1" w14:paraId="41A58380" w14:textId="77777777">
              <w:trPr>
                <w:trHeight w:val="513"/>
                <w:jc w:val="center"/>
              </w:trPr>
              <w:tc>
                <w:tcPr>
                  <w:tcW w:w="1669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2C6ABC75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Regimen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5CC9698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DATROWAY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4BA0F05" w14:textId="77777777">
                  <w:pPr>
                    <w:jc w:val="center"/>
                  </w:pPr>
                  <w:r>
                    <w:t>Chemo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0DF2FCC" w14:textId="77777777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Trodelvy</w:t>
                  </w:r>
                  <w:proofErr w:type="spellEnd"/>
                </w:p>
              </w:tc>
              <w:tc>
                <w:tcPr>
                  <w:tcW w:w="1618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D397E0D" w14:textId="77777777">
                  <w:pPr>
                    <w:jc w:val="center"/>
                  </w:pPr>
                  <w:r>
                    <w:t>Chemo</w:t>
                  </w:r>
                </w:p>
              </w:tc>
            </w:tr>
            <w:tr w:rsidR="00EE49A1" w:rsidTr="00EE49A1" w14:paraId="3C2FCD18" w14:textId="77777777">
              <w:trPr>
                <w:trHeight w:val="260"/>
                <w:jc w:val="center"/>
              </w:trPr>
              <w:tc>
                <w:tcPr>
                  <w:tcW w:w="1669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5B2A9FC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Efficacy</w:t>
                  </w: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322FCBEA" w14:textId="77777777">
                  <w:pPr>
                    <w:jc w:val="center"/>
                  </w:pP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6EAE9FA7" w14:textId="77777777">
                  <w:pPr>
                    <w:jc w:val="center"/>
                  </w:pPr>
                </w:p>
              </w:tc>
            </w:tr>
            <w:tr w:rsidR="00EE49A1" w:rsidTr="00EE49A1" w14:paraId="32A6BB7B" w14:textId="77777777">
              <w:trPr>
                <w:trHeight w:val="260"/>
                <w:jc w:val="center"/>
              </w:trPr>
              <w:tc>
                <w:tcPr>
                  <w:tcW w:w="1669" w:type="dxa"/>
                  <w:vMerge w:val="restart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0DBDC47" w14:textId="77777777">
                  <w:pPr>
                    <w:ind w:left="144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  <w:color w:val="000000"/>
                    </w:rPr>
                    <w:t>mOS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 xml:space="preserve"> (</w:t>
                  </w:r>
                  <w:proofErr w:type="spellStart"/>
                  <w:r>
                    <w:rPr>
                      <w:i/>
                      <w:iCs/>
                      <w:color w:val="000000"/>
                    </w:rPr>
                    <w:t>mos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>)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D9E3901" w14:textId="77777777">
                  <w:pPr>
                    <w:jc w:val="center"/>
                  </w:pPr>
                  <w:r>
                    <w:t>18.6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9FDB175" w14:textId="77777777">
                  <w:pPr>
                    <w:jc w:val="center"/>
                  </w:pPr>
                  <w:r>
                    <w:t>18.3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48DA408" w14:textId="77777777">
                  <w:pPr>
                    <w:jc w:val="center"/>
                  </w:pPr>
                  <w:r>
                    <w:t>14.4</w:t>
                  </w:r>
                </w:p>
              </w:tc>
              <w:tc>
                <w:tcPr>
                  <w:tcW w:w="1618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8DA882B" w14:textId="77777777">
                  <w:pPr>
                    <w:jc w:val="center"/>
                  </w:pPr>
                  <w:r>
                    <w:t>11.2</w:t>
                  </w:r>
                </w:p>
              </w:tc>
            </w:tr>
            <w:tr w:rsidR="00EE49A1" w:rsidTr="00EE49A1" w14:paraId="0B9B5098" w14:textId="77777777">
              <w:trPr>
                <w:trHeight w:val="2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vAlign w:val="center"/>
                  <w:hideMark/>
                </w:tcPr>
                <w:p w:rsidR="00EE49A1" w:rsidP="00EE49A1" w:rsidRDefault="00EE49A1" w14:paraId="417319B4" w14:textId="77777777">
                  <w:pPr>
                    <w:rPr>
                      <w:rFonts w:ascii="Calibri" w:hAnsi="Calibri" w:cs="Calibri"/>
                      <w:i/>
                      <w:iCs/>
                    </w:rPr>
                  </w:pP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7ADD4D2" w14:textId="77777777">
                  <w:pPr>
                    <w:jc w:val="center"/>
                  </w:pPr>
                  <w:r>
                    <w:t>HR 1.01</w:t>
                  </w: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2CA7299" w14:textId="77777777">
                  <w:pPr>
                    <w:jc w:val="center"/>
                  </w:pPr>
                  <w:r>
                    <w:t>HR 0.79</w:t>
                  </w:r>
                </w:p>
              </w:tc>
            </w:tr>
            <w:tr w:rsidR="00EE49A1" w:rsidTr="00EE49A1" w14:paraId="24F9BBEB" w14:textId="77777777">
              <w:trPr>
                <w:trHeight w:val="260"/>
                <w:jc w:val="center"/>
              </w:trPr>
              <w:tc>
                <w:tcPr>
                  <w:tcW w:w="1669" w:type="dxa"/>
                  <w:vMerge w:val="restart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06F981B" w14:textId="77777777">
                  <w:pPr>
                    <w:ind w:left="144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  <w:color w:val="000000"/>
                    </w:rPr>
                    <w:t>mPFS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 xml:space="preserve"> (</w:t>
                  </w:r>
                  <w:proofErr w:type="spellStart"/>
                  <w:r>
                    <w:rPr>
                      <w:i/>
                      <w:iCs/>
                      <w:color w:val="000000"/>
                    </w:rPr>
                    <w:t>mos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>)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42B2930" w14:textId="77777777">
                  <w:pPr>
                    <w:jc w:val="center"/>
                  </w:pPr>
                  <w:r>
                    <w:t>6.9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6D7E70F" w14:textId="77777777">
                  <w:pPr>
                    <w:jc w:val="center"/>
                  </w:pPr>
                  <w:r>
                    <w:t>4.9</w:t>
                  </w:r>
                </w:p>
              </w:tc>
              <w:tc>
                <w:tcPr>
                  <w:tcW w:w="1617" w:type="dxa"/>
                  <w:tcBorders>
                    <w:top w:val="nil"/>
                    <w:left w:val="nil"/>
                    <w:bottom w:val="dotted" w:color="1F3864" w:sz="8" w:space="0"/>
                    <w:right w:val="dotted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3C8155F" w14:textId="77777777">
                  <w:pPr>
                    <w:jc w:val="center"/>
                  </w:pPr>
                  <w:r>
                    <w:t>5.5</w:t>
                  </w:r>
                </w:p>
              </w:tc>
              <w:tc>
                <w:tcPr>
                  <w:tcW w:w="1618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DE8BF25" w14:textId="77777777">
                  <w:pPr>
                    <w:jc w:val="center"/>
                  </w:pPr>
                  <w:r>
                    <w:t>4.0</w:t>
                  </w:r>
                </w:p>
              </w:tc>
            </w:tr>
            <w:tr w:rsidR="00EE49A1" w:rsidTr="00EE49A1" w14:paraId="772AF997" w14:textId="77777777">
              <w:trPr>
                <w:trHeight w:val="2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1F3864" w:sz="8" w:space="0"/>
                  </w:tcBorders>
                  <w:vAlign w:val="center"/>
                  <w:hideMark/>
                </w:tcPr>
                <w:p w:rsidR="00EE49A1" w:rsidP="00EE49A1" w:rsidRDefault="00EE49A1" w14:paraId="1BAAF92B" w14:textId="77777777">
                  <w:pPr>
                    <w:rPr>
                      <w:rFonts w:ascii="Calibri" w:hAnsi="Calibri" w:cs="Calibri"/>
                      <w:i/>
                      <w:iCs/>
                    </w:rPr>
                  </w:pPr>
                </w:p>
              </w:tc>
              <w:tc>
                <w:tcPr>
                  <w:tcW w:w="3234" w:type="dxa"/>
                  <w:gridSpan w:val="2"/>
                  <w:tcBorders>
                    <w:top w:val="nil"/>
                    <w:left w:val="nil"/>
                    <w:bottom w:val="single" w:color="auto" w:sz="8" w:space="0"/>
                    <w:right w:val="single" w:color="1F3864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925B573" w14:textId="77777777">
                  <w:pPr>
                    <w:jc w:val="center"/>
                  </w:pPr>
                  <w:r>
                    <w:t>HR 0.63</w:t>
                  </w:r>
                </w:p>
              </w:tc>
              <w:tc>
                <w:tcPr>
                  <w:tcW w:w="3235" w:type="dxa"/>
                  <w:gridSpan w:val="2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6AEB38E" w14:textId="77777777">
                  <w:pPr>
                    <w:jc w:val="center"/>
                  </w:pPr>
                  <w:r>
                    <w:t>HR 0.66</w:t>
                  </w:r>
                </w:p>
              </w:tc>
            </w:tr>
          </w:tbl>
          <w:p w:rsidR="00EE49A1" w:rsidP="00EE49A1" w:rsidRDefault="00EE49A1" w14:paraId="46B62019" w14:textId="77777777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ascii="Calibri" w:hAnsi="Calibri" w:cs="Calibri"/>
              </w:rPr>
            </w:pPr>
            <w:r>
              <w:lastRenderedPageBreak/>
              <w:t xml:space="preserve">Additionally, unlike other TOP1 ADCs, </w:t>
            </w:r>
            <w:hyperlink w:history="1" r:id="rId11">
              <w:proofErr w:type="spellStart"/>
              <w:r>
                <w:rPr>
                  <w:rStyle w:val="Hyperlink"/>
                </w:rPr>
                <w:t>Trodelvy</w:t>
              </w:r>
              <w:proofErr w:type="spellEnd"/>
            </w:hyperlink>
            <w:r>
              <w:t xml:space="preserve"> and </w:t>
            </w:r>
            <w:hyperlink w:history="1" r:id="rId12">
              <w:proofErr w:type="spellStart"/>
              <w:r>
                <w:rPr>
                  <w:rStyle w:val="Hyperlink"/>
                </w:rPr>
                <w:t>Enhertu</w:t>
              </w:r>
              <w:proofErr w:type="spellEnd"/>
            </w:hyperlink>
            <w:r>
              <w:t>, the Dato-</w:t>
            </w:r>
            <w:proofErr w:type="spellStart"/>
            <w:r>
              <w:t>DXd</w:t>
            </w:r>
            <w:proofErr w:type="spellEnd"/>
            <w:r>
              <w:t xml:space="preserve"> label </w:t>
            </w:r>
            <w:r>
              <w:rPr>
                <w:b/>
                <w:bCs/>
              </w:rPr>
              <w:t xml:space="preserve">does </w:t>
            </w:r>
            <w:r>
              <w:rPr>
                <w:b/>
                <w:bCs/>
                <w:u w:val="single"/>
              </w:rPr>
              <w:t>not</w:t>
            </w:r>
            <w:r>
              <w:rPr>
                <w:b/>
                <w:bCs/>
              </w:rPr>
              <w:t xml:space="preserve"> include</w:t>
            </w:r>
            <w:r>
              <w:t xml:space="preserve"> a </w:t>
            </w:r>
            <w:r>
              <w:rPr>
                <w:b/>
                <w:bCs/>
              </w:rPr>
              <w:t>black box warning</w:t>
            </w:r>
          </w:p>
          <w:tbl>
            <w:tblPr>
              <w:tblW w:w="8131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33"/>
              <w:gridCol w:w="1529"/>
              <w:gridCol w:w="2245"/>
              <w:gridCol w:w="2324"/>
            </w:tblGrid>
            <w:tr w:rsidR="00EE49A1" w:rsidTr="00EE49A1" w14:paraId="42243EDF" w14:textId="77777777">
              <w:trPr>
                <w:trHeight w:val="257"/>
                <w:jc w:val="center"/>
              </w:trPr>
              <w:tc>
                <w:tcPr>
                  <w:tcW w:w="8131" w:type="dxa"/>
                  <w:gridSpan w:val="4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1F386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3FA3DDE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FFFFFF"/>
                    </w:rPr>
                    <w:t>Select Adverse Event Comparison (Initial Approvals)</w:t>
                  </w:r>
                </w:p>
              </w:tc>
            </w:tr>
            <w:tr w:rsidR="00EE49A1" w:rsidTr="00EE49A1" w14:paraId="0B77E17D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single" w:color="1F3864" w:sz="12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038CC6F5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4AB96597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DATROWAY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457B41B9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TRODELVY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24953751" w14:textId="7777777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ENHERTU</w:t>
                  </w:r>
                </w:p>
              </w:tc>
            </w:tr>
            <w:tr w:rsidR="00EE49A1" w:rsidTr="00EE49A1" w14:paraId="1E874867" w14:textId="77777777">
              <w:trPr>
                <w:trHeight w:val="389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single" w:color="1F3864" w:sz="12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11241B1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BLACKBOX Warning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46EEF82" w14:textId="77777777">
                  <w:pPr>
                    <w:jc w:val="center"/>
                  </w:pPr>
                  <w:r>
                    <w:rPr>
                      <w:color w:val="000000"/>
                    </w:rPr>
                    <w:t>None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2EE6F74A" w14:textId="77777777">
                  <w:pPr>
                    <w:jc w:val="center"/>
                  </w:pPr>
                  <w:r>
                    <w:t>Neutropenia / Diarrhea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DA99A09" w14:textId="77777777">
                  <w:pPr>
                    <w:jc w:val="center"/>
                  </w:pPr>
                  <w:r>
                    <w:t>ILD / embryo-fetal harm</w:t>
                  </w:r>
                </w:p>
              </w:tc>
            </w:tr>
            <w:tr w:rsidR="00EE49A1" w:rsidTr="00EE49A1" w14:paraId="7628A798" w14:textId="77777777">
              <w:trPr>
                <w:trHeight w:val="506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single" w:color="1F3864" w:sz="12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46F15815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Permanent Discon.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3CCEE1A" w14:textId="77777777">
                  <w:pPr>
                    <w:jc w:val="center"/>
                  </w:pPr>
                  <w:r>
                    <w:rPr>
                      <w:color w:val="000000"/>
                    </w:rPr>
                    <w:t>3%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7D7386E" w14:textId="77777777">
                  <w:pPr>
                    <w:jc w:val="center"/>
                  </w:pPr>
                  <w:r>
                    <w:t>5%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single" w:color="1F3864" w:sz="12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69CBDC2" w14:textId="77777777">
                  <w:pPr>
                    <w:jc w:val="center"/>
                  </w:pPr>
                  <w:r>
                    <w:t>9% (6% ILD)</w:t>
                  </w:r>
                </w:p>
              </w:tc>
            </w:tr>
            <w:tr w:rsidR="00EE49A1" w:rsidTr="00EE49A1" w14:paraId="280899BD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0B2769F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000000"/>
                    </w:rPr>
                    <w:t>Gr 3-4 TEAEs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297D63BE" w14:textId="77777777">
                  <w:pPr>
                    <w:jc w:val="center"/>
                  </w:pP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4A68296B" w14:textId="77777777">
                  <w:pPr>
                    <w:jc w:val="center"/>
                  </w:pP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E49A1" w:rsidP="00EE49A1" w:rsidRDefault="00EE49A1" w14:paraId="1909CCF5" w14:textId="77777777">
                  <w:pPr>
                    <w:jc w:val="center"/>
                  </w:pPr>
                </w:p>
              </w:tc>
            </w:tr>
            <w:tr w:rsidR="00EE49A1" w:rsidTr="00EE49A1" w14:paraId="5DD2D31D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CFEAD1E" w14:textId="77777777">
                  <w:pPr>
                    <w:ind w:left="144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  <w:color w:val="000000"/>
                    </w:rPr>
                    <w:t>ILD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144405A" w14:textId="77777777">
                  <w:pPr>
                    <w:jc w:val="center"/>
                  </w:pPr>
                  <w:r>
                    <w:rPr>
                      <w:color w:val="000000"/>
                    </w:rPr>
                    <w:t>&lt;10% all grade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2657844" w14:textId="77777777">
                  <w:pPr>
                    <w:jc w:val="center"/>
                  </w:pPr>
                  <w:r>
                    <w:t>Not Reported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9C38BB0" w14:textId="77777777">
                  <w:pPr>
                    <w:jc w:val="center"/>
                  </w:pPr>
                  <w:r>
                    <w:t>3% (9% all grade)</w:t>
                  </w:r>
                </w:p>
              </w:tc>
            </w:tr>
            <w:tr w:rsidR="00EE49A1" w:rsidTr="00EE49A1" w14:paraId="09BF49E8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7BF9DE9E" w14:textId="77777777">
                  <w:pPr>
                    <w:ind w:left="144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  <w:color w:val="000000"/>
                    </w:rPr>
                    <w:t>Neutropenia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BDE407F" w14:textId="77777777">
                  <w:pPr>
                    <w:jc w:val="center"/>
                  </w:pPr>
                  <w:r>
                    <w:rPr>
                      <w:color w:val="000000"/>
                    </w:rPr>
                    <w:t>2% (lab count)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85D0D98" w14:textId="77777777">
                  <w:pPr>
                    <w:jc w:val="center"/>
                  </w:pPr>
                  <w:r>
                    <w:t>43% (3-4)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4DF68AC" w14:textId="77777777">
                  <w:pPr>
                    <w:jc w:val="center"/>
                  </w:pPr>
                  <w:r>
                    <w:t>16% (3-4)</w:t>
                  </w:r>
                </w:p>
              </w:tc>
            </w:tr>
            <w:tr w:rsidR="00EE49A1" w:rsidTr="00EE49A1" w14:paraId="1D6861D5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dotted" w:color="1F3864" w:sz="8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0A82FE56" w14:textId="77777777">
                  <w:pPr>
                    <w:ind w:left="144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  <w:color w:val="000000"/>
                    </w:rPr>
                    <w:t>Stomatitis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5E63CD6E" w14:textId="77777777">
                  <w:pPr>
                    <w:jc w:val="center"/>
                  </w:pPr>
                  <w:r>
                    <w:rPr>
                      <w:color w:val="000000"/>
                    </w:rPr>
                    <w:t>7%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5CCEAE6" w14:textId="77777777">
                  <w:pPr>
                    <w:jc w:val="center"/>
                  </w:pPr>
                  <w:r>
                    <w:t>Not Reported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dotted" w:color="1F3864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115C4FA7" w14:textId="77777777">
                  <w:pPr>
                    <w:jc w:val="center"/>
                  </w:pPr>
                  <w:r>
                    <w:t>1% (3-4)</w:t>
                  </w:r>
                </w:p>
              </w:tc>
            </w:tr>
            <w:tr w:rsidR="00EE49A1" w:rsidTr="00EE49A1" w14:paraId="2704B563" w14:textId="77777777">
              <w:trPr>
                <w:trHeight w:val="257"/>
                <w:jc w:val="center"/>
              </w:trPr>
              <w:tc>
                <w:tcPr>
                  <w:tcW w:w="2033" w:type="dxa"/>
                  <w:tcBorders>
                    <w:top w:val="nil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487DE9A4" w14:textId="77777777">
                  <w:pPr>
                    <w:ind w:left="144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  <w:color w:val="000000"/>
                    </w:rPr>
                    <w:t>Diarrhea</w:t>
                  </w:r>
                </w:p>
              </w:tc>
              <w:tc>
                <w:tcPr>
                  <w:tcW w:w="1529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FBE4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21791A70" w14:textId="77777777">
                  <w:pPr>
                    <w:jc w:val="center"/>
                  </w:pPr>
                  <w:r>
                    <w:rPr>
                      <w:color w:val="000000"/>
                    </w:rPr>
                    <w:t>1%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3DF7F6B5" w14:textId="77777777">
                  <w:pPr>
                    <w:jc w:val="center"/>
                  </w:pPr>
                  <w:r>
                    <w:t>9% (3-4)</w:t>
                  </w:r>
                </w:p>
              </w:tc>
              <w:tc>
                <w:tcPr>
                  <w:tcW w:w="2324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E49A1" w:rsidP="00EE49A1" w:rsidRDefault="00EE49A1" w14:paraId="6CC0442F" w14:textId="77777777">
                  <w:pPr>
                    <w:jc w:val="center"/>
                  </w:pPr>
                  <w:r>
                    <w:t>2% (3-4)</w:t>
                  </w:r>
                </w:p>
              </w:tc>
            </w:tr>
          </w:tbl>
          <w:p w:rsidR="00EE49A1" w:rsidP="00EE49A1" w:rsidRDefault="00EE49A1" w14:paraId="7AAF699C" w14:textId="77777777">
            <w:pPr>
              <w:numPr>
                <w:ilvl w:val="0"/>
                <w:numId w:val="7"/>
              </w:numPr>
              <w:spacing w:before="120" w:after="0" w:line="240" w:lineRule="auto"/>
              <w:rPr>
                <w:rFonts w:ascii="Calibri" w:hAnsi="Calibri" w:cs="Calibri"/>
              </w:rPr>
            </w:pPr>
            <w:r>
              <w:t>This initial approval in Breast Cancer does not alter expectations for Dato-</w:t>
            </w:r>
            <w:proofErr w:type="spellStart"/>
            <w:r>
              <w:t>DXd</w:t>
            </w:r>
            <w:proofErr w:type="spellEnd"/>
            <w:r>
              <w:t xml:space="preserve"> in core AbbVie indications, e.g., NSCLC</w:t>
            </w:r>
          </w:p>
          <w:p w:rsidR="00EE49A1" w:rsidP="00EE49A1" w:rsidRDefault="00EE49A1" w14:paraId="36736CED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 </w:t>
            </w:r>
            <w:r>
              <w:rPr>
                <w:rFonts w:eastAsia="Times New Roman"/>
                <w:b/>
                <w:bCs/>
              </w:rPr>
              <w:t>NSCLC</w:t>
            </w:r>
            <w:r>
              <w:rPr>
                <w:rFonts w:eastAsia="Times New Roman"/>
              </w:rPr>
              <w:t>, near-term Dato-</w:t>
            </w:r>
            <w:proofErr w:type="spellStart"/>
            <w:r>
              <w:rPr>
                <w:rFonts w:eastAsia="Times New Roman"/>
              </w:rPr>
              <w:t>DXd</w:t>
            </w:r>
            <w:proofErr w:type="spellEnd"/>
            <w:r>
              <w:rPr>
                <w:rFonts w:eastAsia="Times New Roman"/>
              </w:rPr>
              <w:t xml:space="preserve"> catalysts include:</w:t>
            </w:r>
          </w:p>
          <w:p w:rsidR="00EE49A1" w:rsidP="00EE49A1" w:rsidRDefault="00EE49A1" w14:paraId="05267F44" w14:textId="77777777">
            <w:pPr>
              <w:numPr>
                <w:ilvl w:val="1"/>
                <w:numId w:val="7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TROPION-Lung05, TROPION-Lung01 and TROPION-PanTumor01 (Previously treated EGFRm NSCLC) – </w:t>
            </w:r>
            <w:hyperlink w:history="1" r:id="rId13">
              <w:r>
                <w:rPr>
                  <w:rStyle w:val="Hyperlink"/>
                  <w:rFonts w:eastAsia="Times New Roman"/>
                </w:rPr>
                <w:t>PDUFA</w:t>
              </w:r>
            </w:hyperlink>
            <w:r>
              <w:rPr>
                <w:rFonts w:eastAsia="Times New Roman"/>
              </w:rPr>
              <w:t xml:space="preserve"> 3Q25</w:t>
            </w:r>
          </w:p>
          <w:p w:rsidRPr="00C17C57" w:rsidR="00FC0603" w:rsidP="00EE49A1" w:rsidRDefault="00EE49A1" w14:paraId="0962F2A0" w14:textId="30ED0BE7">
            <w:pPr>
              <w:pStyle w:val="ListParagraph"/>
              <w:numPr>
                <w:ilvl w:val="1"/>
                <w:numId w:val="7"/>
              </w:numPr>
            </w:pPr>
            <w:hyperlink w:history="1" r:id="rId14">
              <w:r>
                <w:rPr>
                  <w:rStyle w:val="Hyperlink"/>
                  <w:rFonts w:eastAsia="Times New Roman"/>
                </w:rPr>
                <w:t>AVANZAR</w:t>
              </w:r>
            </w:hyperlink>
            <w:r>
              <w:rPr>
                <w:rFonts w:eastAsia="Times New Roman"/>
              </w:rPr>
              <w:t xml:space="preserve"> (1L Non-Oncogene, NSCLC) – topline readout expected 2025 (includes TROP2+ endpoint)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3402883E" w14:textId="77777777">
            <w:r w:rsidRPr="00C17C57">
              <w:lastRenderedPageBreak/>
              <w:t> </w:t>
            </w:r>
          </w:p>
        </w:tc>
      </w:tr>
      <w:tr w:rsidRPr="00C17C57" w:rsidR="00C17C57" w:rsidTr="15E812E2" w14:paraId="15DFD2C2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654D7B33" w14:textId="77777777">
            <w:r w:rsidRPr="00C17C57">
              <w:t> </w:t>
            </w:r>
          </w:p>
        </w:tc>
        <w:tc>
          <w:tcPr>
            <w:tcW w:w="8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687C480A" w14:textId="77777777">
            <w:r w:rsidRPr="00C17C57"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C17C57" w:rsidR="00C17C57" w:rsidP="00C17C57" w:rsidRDefault="00C17C57" w14:paraId="02E492C9" w14:textId="77777777">
            <w:r w:rsidRPr="00C17C57">
              <w:t> </w:t>
            </w:r>
          </w:p>
        </w:tc>
      </w:tr>
    </w:tbl>
    <w:p w:rsidR="007628E3" w:rsidRDefault="007628E3" w14:paraId="5CBCF09C" w14:textId="77777777"/>
    <w:sectPr w:rsidR="007628E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D6608"/>
    <w:multiLevelType w:val="multilevel"/>
    <w:tmpl w:val="0012EB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1E1825BF"/>
    <w:multiLevelType w:val="multilevel"/>
    <w:tmpl w:val="737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1405F4C"/>
    <w:multiLevelType w:val="multilevel"/>
    <w:tmpl w:val="4D1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4BF06F7"/>
    <w:multiLevelType w:val="hybridMultilevel"/>
    <w:tmpl w:val="A8B01A8C"/>
    <w:lvl w:ilvl="0" w:tplc="04090001">
      <w:start w:val="1"/>
      <w:numFmt w:val="bullet"/>
      <w:lvlText w:val=""/>
      <w:lvlJc w:val="left"/>
      <w:pPr>
        <w:ind w:left="76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8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0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hint="default" w:ascii="Wingdings" w:hAnsi="Wingdings"/>
      </w:rPr>
    </w:lvl>
  </w:abstractNum>
  <w:abstractNum w:abstractNumId="4" w15:restartNumberingAfterBreak="0">
    <w:nsid w:val="4DF27C50"/>
    <w:multiLevelType w:val="multilevel"/>
    <w:tmpl w:val="A65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4C81B3B"/>
    <w:multiLevelType w:val="multilevel"/>
    <w:tmpl w:val="B2C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6AD1D42"/>
    <w:multiLevelType w:val="multilevel"/>
    <w:tmpl w:val="57E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112581410">
    <w:abstractNumId w:val="6"/>
  </w:num>
  <w:num w:numId="2" w16cid:durableId="2086998954">
    <w:abstractNumId w:val="2"/>
  </w:num>
  <w:num w:numId="3" w16cid:durableId="185533170">
    <w:abstractNumId w:val="1"/>
  </w:num>
  <w:num w:numId="4" w16cid:durableId="1496922987">
    <w:abstractNumId w:val="4"/>
  </w:num>
  <w:num w:numId="5" w16cid:durableId="366610956">
    <w:abstractNumId w:val="5"/>
  </w:num>
  <w:num w:numId="6" w16cid:durableId="1122922291">
    <w:abstractNumId w:val="0"/>
  </w:num>
  <w:num w:numId="7" w16cid:durableId="1080252106">
    <w:abstractNumId w:val="3"/>
  </w:num>
  <w:num w:numId="8" w16cid:durableId="15001971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57"/>
    <w:rsid w:val="0002094F"/>
    <w:rsid w:val="000248F9"/>
    <w:rsid w:val="000A4DFC"/>
    <w:rsid w:val="000B3836"/>
    <w:rsid w:val="000D6B2D"/>
    <w:rsid w:val="000F1B41"/>
    <w:rsid w:val="0017460E"/>
    <w:rsid w:val="00176C47"/>
    <w:rsid w:val="00191063"/>
    <w:rsid w:val="001A2AAF"/>
    <w:rsid w:val="00203F1B"/>
    <w:rsid w:val="00234673"/>
    <w:rsid w:val="002602CF"/>
    <w:rsid w:val="00263C2F"/>
    <w:rsid w:val="002D4EF2"/>
    <w:rsid w:val="00327C1C"/>
    <w:rsid w:val="003A12E2"/>
    <w:rsid w:val="003F56F5"/>
    <w:rsid w:val="00427047"/>
    <w:rsid w:val="00436077"/>
    <w:rsid w:val="00462CED"/>
    <w:rsid w:val="004664C6"/>
    <w:rsid w:val="00483478"/>
    <w:rsid w:val="00501E02"/>
    <w:rsid w:val="00511A3F"/>
    <w:rsid w:val="00572B2A"/>
    <w:rsid w:val="005D264C"/>
    <w:rsid w:val="005D304F"/>
    <w:rsid w:val="005D523B"/>
    <w:rsid w:val="005E21AA"/>
    <w:rsid w:val="00613F89"/>
    <w:rsid w:val="00616302"/>
    <w:rsid w:val="006D0CBB"/>
    <w:rsid w:val="006D4664"/>
    <w:rsid w:val="00715A3E"/>
    <w:rsid w:val="00732324"/>
    <w:rsid w:val="007628E3"/>
    <w:rsid w:val="00764B57"/>
    <w:rsid w:val="00817286"/>
    <w:rsid w:val="00822F54"/>
    <w:rsid w:val="008574A8"/>
    <w:rsid w:val="00857A51"/>
    <w:rsid w:val="00885F7F"/>
    <w:rsid w:val="008D0837"/>
    <w:rsid w:val="00903BE6"/>
    <w:rsid w:val="00961F6E"/>
    <w:rsid w:val="00973263"/>
    <w:rsid w:val="0099416D"/>
    <w:rsid w:val="009D32EC"/>
    <w:rsid w:val="009E3641"/>
    <w:rsid w:val="00A32804"/>
    <w:rsid w:val="00AB4895"/>
    <w:rsid w:val="00AB5535"/>
    <w:rsid w:val="00AC25EC"/>
    <w:rsid w:val="00AF51EF"/>
    <w:rsid w:val="00B24829"/>
    <w:rsid w:val="00B72A76"/>
    <w:rsid w:val="00B7483A"/>
    <w:rsid w:val="00B90C26"/>
    <w:rsid w:val="00BA4D06"/>
    <w:rsid w:val="00BB1FF8"/>
    <w:rsid w:val="00C17C57"/>
    <w:rsid w:val="00C30BEB"/>
    <w:rsid w:val="00C41C29"/>
    <w:rsid w:val="00C44117"/>
    <w:rsid w:val="00C45898"/>
    <w:rsid w:val="00C96119"/>
    <w:rsid w:val="00CA4393"/>
    <w:rsid w:val="00CA6B37"/>
    <w:rsid w:val="00CC6B3B"/>
    <w:rsid w:val="00CD5F0B"/>
    <w:rsid w:val="00CF3364"/>
    <w:rsid w:val="00D06AE8"/>
    <w:rsid w:val="00D12AAA"/>
    <w:rsid w:val="00D458A9"/>
    <w:rsid w:val="00D57ADF"/>
    <w:rsid w:val="00D603BE"/>
    <w:rsid w:val="00D6748C"/>
    <w:rsid w:val="00DA618D"/>
    <w:rsid w:val="00DC28E3"/>
    <w:rsid w:val="00DE0C4A"/>
    <w:rsid w:val="00DF1683"/>
    <w:rsid w:val="00E477D1"/>
    <w:rsid w:val="00E61879"/>
    <w:rsid w:val="00E824B7"/>
    <w:rsid w:val="00EA243C"/>
    <w:rsid w:val="00EA68CC"/>
    <w:rsid w:val="00EC0546"/>
    <w:rsid w:val="00EE49A1"/>
    <w:rsid w:val="00EE4FD7"/>
    <w:rsid w:val="00EF5755"/>
    <w:rsid w:val="00F136B6"/>
    <w:rsid w:val="00F25695"/>
    <w:rsid w:val="00F646BE"/>
    <w:rsid w:val="00FC0603"/>
    <w:rsid w:val="00FD2079"/>
    <w:rsid w:val="00FD7A41"/>
    <w:rsid w:val="00FF161F"/>
    <w:rsid w:val="00FF27E4"/>
    <w:rsid w:val="00FF6A31"/>
    <w:rsid w:val="114690E5"/>
    <w:rsid w:val="12FCD203"/>
    <w:rsid w:val="15E812E2"/>
    <w:rsid w:val="32E0C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ACDB"/>
  <w15:chartTrackingRefBased/>
  <w15:docId w15:val="{2991C7F4-9341-465B-B5BF-C4D7BEA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C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C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7C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17C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17C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7C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7C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7C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7C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7C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C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17C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1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C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C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C5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B1F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1FF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B1F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1FF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1FF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B1FF8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06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D08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3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www.astrazeneca.com/media-centre/press-releases/2025/datopotamab-deruxtecan-granted-priority-review-in-the-us-for-patients-with-previously-treated-advanced-egfr-mutated-non-small-cell-lung-cancer.html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accessdata.fda.gov/drugsatfda_docs/label/2024/761139s028lbl.pdf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accessdata.fda.gov/drugsatfda_docs/label/2024/761115s058lbl.pdf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www.accessdata.fda.gov/drugsatfda_docs/label/2024/761115s058lbl.pdf" TargetMode="Externa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yperlink" Target="https://clinicaltrials.gov/study/NCT05687266?term=AVANZAR&amp;rank=1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29157C1F-9F26-46FF-BBC5-7865CA5445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B3DCF2-11DA-40DF-A7B5-9B5739A23F32}"/>
</file>

<file path=customXml/itemProps3.xml><?xml version="1.0" encoding="utf-8"?>
<ds:datastoreItem xmlns:ds="http://schemas.openxmlformats.org/officeDocument/2006/customXml" ds:itemID="{BF5047F9-04C0-4346-AE4C-F93DE6A6EACD}">
  <ds:schemaRefs>
    <ds:schemaRef ds:uri="http://schemas.microsoft.com/office/2006/documentManagement/types"/>
    <ds:schemaRef ds:uri="c181a9bc-3009-49f3-87b5-3c5d59e5a8cd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39fedafa-5d4b-4b53-a4b0-09c22e24986c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Abbvie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Brock, Jesse</dc:creator>
  <cp:keywords/>
  <dc:description/>
  <cp:lastModifiedBy>Kim, Ashley</cp:lastModifiedBy>
  <cp:revision>4</cp:revision>
  <dcterms:created xsi:type="dcterms:W3CDTF">2025-01-27T01:13:00Z</dcterms:created>
  <dcterms:modified xsi:type="dcterms:W3CDTF">2025-06-04T21:10:15Z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