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64FB6" w14:textId="58D74686" w:rsidR="0096043A" w:rsidRPr="00452BFD" w:rsidRDefault="006D3CF8">
      <w:pPr>
        <w:rPr>
          <w:sz w:val="22"/>
          <w:szCs w:val="22"/>
        </w:rPr>
      </w:pPr>
      <w:r w:rsidRPr="00EB5C0A">
        <w:rPr>
          <w:rFonts w:eastAsia="SimSun" w:cstheme="minorHAnsi"/>
          <w:noProof/>
          <w:color w:val="000000"/>
          <w:kern w:val="0"/>
          <w:sz w:val="22"/>
          <w:szCs w:val="22"/>
          <w:lang w:eastAsia="zh-CN"/>
          <w14:ligatures w14:val="none"/>
        </w:rPr>
        <w:drawing>
          <wp:inline distT="0" distB="0" distL="0" distR="0" wp14:anchorId="55B973D2" wp14:editId="416FB8CF">
            <wp:extent cx="5943600" cy="1091570"/>
            <wp:effectExtent l="0" t="0" r="0" b="635"/>
            <wp:docPr id="2" name="Picture 5"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A blue background with white text&#10;&#10;AI-generated content may be incorrect."/>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5943600" cy="1091570"/>
                    </a:xfrm>
                    <a:prstGeom prst="rect">
                      <a:avLst/>
                    </a:prstGeom>
                    <a:noFill/>
                    <a:ln>
                      <a:noFill/>
                    </a:ln>
                  </pic:spPr>
                </pic:pic>
              </a:graphicData>
            </a:graphic>
          </wp:inline>
        </w:drawing>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043A" w:rsidRPr="00452BFD" w14:paraId="28D1A2F2" w14:textId="77777777" w:rsidTr="00AC3027">
        <w:tc>
          <w:tcPr>
            <w:tcW w:w="9350" w:type="dxa"/>
          </w:tcPr>
          <w:p w14:paraId="1ACC4076" w14:textId="2A542839" w:rsidR="0096043A" w:rsidRPr="00452BFD" w:rsidRDefault="0096043A" w:rsidP="00D76DAE">
            <w:pPr>
              <w:rPr>
                <w:sz w:val="22"/>
                <w:szCs w:val="22"/>
              </w:rPr>
            </w:pPr>
          </w:p>
        </w:tc>
      </w:tr>
      <w:tr w:rsidR="00AC3027" w:rsidRPr="00452BFD" w14:paraId="0A14553F" w14:textId="77777777" w:rsidTr="00AC3027">
        <w:tc>
          <w:tcPr>
            <w:tcW w:w="9350" w:type="dxa"/>
          </w:tcPr>
          <w:p w14:paraId="6E3EA0EC" w14:textId="77777777" w:rsidR="003525F3" w:rsidRPr="00452BFD" w:rsidRDefault="003525F3" w:rsidP="00960CF9">
            <w:pPr>
              <w:spacing w:line="252" w:lineRule="auto"/>
              <w:rPr>
                <w:b/>
                <w:bCs/>
                <w:color w:val="001756"/>
                <w:sz w:val="22"/>
                <w:szCs w:val="22"/>
              </w:rPr>
            </w:pPr>
          </w:p>
          <w:p w14:paraId="41D8559A" w14:textId="56C4D217" w:rsidR="003834DB" w:rsidRDefault="003834DB" w:rsidP="00222526">
            <w:pPr>
              <w:spacing w:line="252" w:lineRule="auto"/>
              <w:rPr>
                <w:b/>
                <w:bCs/>
                <w:color w:val="001756"/>
                <w:sz w:val="22"/>
                <w:szCs w:val="22"/>
              </w:rPr>
            </w:pPr>
            <w:r>
              <w:rPr>
                <w:b/>
                <w:bCs/>
                <w:color w:val="001756"/>
                <w:sz w:val="22"/>
                <w:szCs w:val="22"/>
              </w:rPr>
              <w:t xml:space="preserve">EU’s CHMP issued a positive opinion for subcutaneous </w:t>
            </w:r>
            <w:proofErr w:type="spellStart"/>
            <w:r>
              <w:rPr>
                <w:b/>
                <w:bCs/>
                <w:color w:val="001756"/>
                <w:sz w:val="22"/>
                <w:szCs w:val="22"/>
              </w:rPr>
              <w:t>amivantamab</w:t>
            </w:r>
            <w:proofErr w:type="spellEnd"/>
            <w:r w:rsidR="00912534">
              <w:rPr>
                <w:b/>
                <w:bCs/>
                <w:color w:val="001756"/>
                <w:sz w:val="22"/>
                <w:szCs w:val="22"/>
              </w:rPr>
              <w:t xml:space="preserve"> </w:t>
            </w:r>
            <w:r w:rsidR="00F12D31">
              <w:rPr>
                <w:b/>
                <w:bCs/>
                <w:color w:val="001756"/>
                <w:sz w:val="22"/>
                <w:szCs w:val="22"/>
              </w:rPr>
              <w:t xml:space="preserve">(EGFR/MET </w:t>
            </w:r>
            <w:proofErr w:type="spellStart"/>
            <w:r w:rsidR="00F12D31">
              <w:rPr>
                <w:b/>
                <w:bCs/>
                <w:color w:val="001756"/>
                <w:sz w:val="22"/>
                <w:szCs w:val="22"/>
              </w:rPr>
              <w:t>mAb</w:t>
            </w:r>
            <w:proofErr w:type="spellEnd"/>
            <w:r w:rsidR="00F12D31">
              <w:rPr>
                <w:b/>
                <w:bCs/>
                <w:color w:val="001756"/>
                <w:sz w:val="22"/>
                <w:szCs w:val="22"/>
              </w:rPr>
              <w:t xml:space="preserve">) </w:t>
            </w:r>
            <w:r w:rsidR="00912534">
              <w:rPr>
                <w:b/>
                <w:bCs/>
                <w:color w:val="001756"/>
                <w:sz w:val="22"/>
                <w:szCs w:val="22"/>
              </w:rPr>
              <w:t>in two</w:t>
            </w:r>
            <w:r w:rsidR="008C0696">
              <w:rPr>
                <w:b/>
                <w:bCs/>
                <w:color w:val="001756"/>
                <w:sz w:val="22"/>
                <w:szCs w:val="22"/>
              </w:rPr>
              <w:t xml:space="preserve"> of the drug’s approved </w:t>
            </w:r>
            <w:r w:rsidR="00E57B17">
              <w:rPr>
                <w:b/>
                <w:bCs/>
                <w:color w:val="001756"/>
                <w:sz w:val="22"/>
                <w:szCs w:val="22"/>
              </w:rPr>
              <w:t xml:space="preserve">lung </w:t>
            </w:r>
            <w:r w:rsidR="008C0696">
              <w:rPr>
                <w:b/>
                <w:bCs/>
                <w:color w:val="001756"/>
                <w:sz w:val="22"/>
                <w:szCs w:val="22"/>
              </w:rPr>
              <w:t xml:space="preserve">indications in EU: 1L EGFRm </w:t>
            </w:r>
            <w:proofErr w:type="gramStart"/>
            <w:r w:rsidR="008C0696">
              <w:rPr>
                <w:b/>
                <w:bCs/>
                <w:color w:val="001756"/>
                <w:sz w:val="22"/>
                <w:szCs w:val="22"/>
              </w:rPr>
              <w:t>(</w:t>
            </w:r>
            <w:r>
              <w:rPr>
                <w:b/>
                <w:bCs/>
                <w:color w:val="001756"/>
                <w:sz w:val="22"/>
                <w:szCs w:val="22"/>
              </w:rPr>
              <w:t xml:space="preserve"> +</w:t>
            </w:r>
            <w:proofErr w:type="gramEnd"/>
            <w:r>
              <w:rPr>
                <w:b/>
                <w:bCs/>
                <w:color w:val="001756"/>
                <w:sz w:val="22"/>
                <w:szCs w:val="22"/>
              </w:rPr>
              <w:t xml:space="preserve"> </w:t>
            </w:r>
            <w:proofErr w:type="spellStart"/>
            <w:r w:rsidR="00F12D31">
              <w:rPr>
                <w:b/>
                <w:bCs/>
                <w:color w:val="001756"/>
                <w:sz w:val="22"/>
                <w:szCs w:val="22"/>
              </w:rPr>
              <w:t>l</w:t>
            </w:r>
            <w:r w:rsidR="008C0696">
              <w:rPr>
                <w:b/>
                <w:bCs/>
                <w:color w:val="001756"/>
                <w:sz w:val="22"/>
                <w:szCs w:val="22"/>
              </w:rPr>
              <w:t>azertinib</w:t>
            </w:r>
            <w:proofErr w:type="spellEnd"/>
            <w:r w:rsidR="008C0696">
              <w:rPr>
                <w:b/>
                <w:bCs/>
                <w:color w:val="001756"/>
                <w:sz w:val="22"/>
                <w:szCs w:val="22"/>
              </w:rPr>
              <w:t>)</w:t>
            </w:r>
            <w:r w:rsidR="00C16D0C">
              <w:rPr>
                <w:b/>
                <w:bCs/>
                <w:color w:val="001756"/>
                <w:sz w:val="22"/>
                <w:szCs w:val="22"/>
              </w:rPr>
              <w:t xml:space="preserve"> and 2L+ EGFRex20</w:t>
            </w:r>
            <w:r w:rsidR="00E57B17">
              <w:rPr>
                <w:b/>
                <w:bCs/>
                <w:color w:val="001756"/>
                <w:sz w:val="22"/>
                <w:szCs w:val="22"/>
              </w:rPr>
              <w:t xml:space="preserve"> (monotherapy)</w:t>
            </w:r>
            <w:r w:rsidR="00DB6A6D">
              <w:rPr>
                <w:b/>
                <w:bCs/>
                <w:color w:val="001756"/>
                <w:sz w:val="22"/>
                <w:szCs w:val="22"/>
              </w:rPr>
              <w:t>. The decision does not appear to affect the drug’s approval in combination with platinum CT (</w:t>
            </w:r>
            <w:r w:rsidR="00F25652">
              <w:rPr>
                <w:b/>
                <w:bCs/>
                <w:color w:val="001756"/>
                <w:sz w:val="22"/>
                <w:szCs w:val="22"/>
              </w:rPr>
              <w:t xml:space="preserve">2L EGFRm; 1L EGFRex20 </w:t>
            </w:r>
            <w:r w:rsidR="006F16AF">
              <w:rPr>
                <w:b/>
                <w:bCs/>
                <w:color w:val="001756"/>
                <w:sz w:val="22"/>
                <w:szCs w:val="22"/>
              </w:rPr>
              <w:t>(</w:t>
            </w:r>
            <w:hyperlink r:id="rId10" w:history="1">
              <w:r w:rsidRPr="003834DB">
                <w:rPr>
                  <w:rStyle w:val="Hyperlink"/>
                  <w:b/>
                  <w:bCs/>
                  <w:sz w:val="22"/>
                  <w:szCs w:val="22"/>
                </w:rPr>
                <w:t>J&amp;J Press Release</w:t>
              </w:r>
            </w:hyperlink>
            <w:r>
              <w:rPr>
                <w:b/>
                <w:bCs/>
                <w:color w:val="001756"/>
                <w:sz w:val="22"/>
                <w:szCs w:val="22"/>
              </w:rPr>
              <w:t xml:space="preserve"> | </w:t>
            </w:r>
            <w:hyperlink r:id="rId11" w:history="1">
              <w:r w:rsidRPr="003834DB">
                <w:rPr>
                  <w:rStyle w:val="Hyperlink"/>
                  <w:b/>
                  <w:bCs/>
                  <w:sz w:val="22"/>
                  <w:szCs w:val="22"/>
                </w:rPr>
                <w:t>Halozyme Press Release</w:t>
              </w:r>
            </w:hyperlink>
            <w:r w:rsidR="006F16AF">
              <w:rPr>
                <w:rStyle w:val="Hyperlink"/>
                <w:b/>
                <w:bCs/>
                <w:sz w:val="22"/>
                <w:szCs w:val="22"/>
              </w:rPr>
              <w:t>)</w:t>
            </w:r>
          </w:p>
          <w:p w14:paraId="1F8657C4" w14:textId="77777777" w:rsidR="003834DB" w:rsidRDefault="003834DB" w:rsidP="00222526">
            <w:pPr>
              <w:spacing w:line="252" w:lineRule="auto"/>
              <w:rPr>
                <w:b/>
                <w:bCs/>
                <w:color w:val="001756"/>
                <w:sz w:val="22"/>
                <w:szCs w:val="22"/>
              </w:rPr>
            </w:pPr>
          </w:p>
          <w:p w14:paraId="33FDBB44" w14:textId="7EB3272A" w:rsidR="00ED2A9D" w:rsidRDefault="00ED2A9D" w:rsidP="00A43CBB">
            <w:pPr>
              <w:pStyle w:val="ListParagraph"/>
              <w:numPr>
                <w:ilvl w:val="0"/>
                <w:numId w:val="16"/>
              </w:numPr>
              <w:spacing w:line="252" w:lineRule="auto"/>
              <w:rPr>
                <w:b/>
                <w:bCs/>
                <w:color w:val="001756"/>
                <w:sz w:val="22"/>
                <w:szCs w:val="22"/>
              </w:rPr>
            </w:pPr>
            <w:r>
              <w:rPr>
                <w:b/>
                <w:bCs/>
                <w:color w:val="001756"/>
                <w:sz w:val="22"/>
                <w:szCs w:val="22"/>
              </w:rPr>
              <w:t>EU approval is expected April 2025</w:t>
            </w:r>
            <w:r w:rsidR="00627674">
              <w:rPr>
                <w:b/>
                <w:bCs/>
                <w:color w:val="001756"/>
                <w:sz w:val="22"/>
                <w:szCs w:val="22"/>
              </w:rPr>
              <w:t>,</w:t>
            </w:r>
            <w:r>
              <w:rPr>
                <w:b/>
                <w:bCs/>
                <w:color w:val="001756"/>
                <w:sz w:val="22"/>
                <w:szCs w:val="22"/>
              </w:rPr>
              <w:t xml:space="preserve"> while JNJ is also guiding for a 2025 US approval</w:t>
            </w:r>
          </w:p>
          <w:p w14:paraId="08637C94" w14:textId="1F6FFD5C" w:rsidR="00A43CBB" w:rsidRPr="00F21BB5" w:rsidRDefault="00ED2A9D" w:rsidP="00F21BB5">
            <w:pPr>
              <w:pStyle w:val="ListParagraph"/>
              <w:numPr>
                <w:ilvl w:val="1"/>
                <w:numId w:val="16"/>
              </w:numPr>
              <w:spacing w:line="252" w:lineRule="auto"/>
              <w:ind w:left="1080"/>
              <w:rPr>
                <w:b/>
                <w:bCs/>
                <w:color w:val="001756"/>
                <w:sz w:val="22"/>
                <w:szCs w:val="22"/>
              </w:rPr>
            </w:pPr>
            <w:r w:rsidRPr="0020523C">
              <w:rPr>
                <w:color w:val="001756"/>
                <w:sz w:val="22"/>
                <w:szCs w:val="22"/>
              </w:rPr>
              <w:t xml:space="preserve">Recall the </w:t>
            </w:r>
            <w:hyperlink r:id="rId12" w:anchor=":~:text=RARITAN%2C%20N.J.%2C%20December%2016%2C,human%20hyaluronidase%20for%20subcutaneous%20administration%20(" w:history="1">
              <w:r w:rsidRPr="0020523C">
                <w:rPr>
                  <w:rStyle w:val="Hyperlink"/>
                  <w:sz w:val="22"/>
                  <w:szCs w:val="22"/>
                </w:rPr>
                <w:t>FDA issued a CRL in December 2024</w:t>
              </w:r>
            </w:hyperlink>
            <w:r w:rsidRPr="0020523C">
              <w:rPr>
                <w:color w:val="001756"/>
                <w:sz w:val="22"/>
                <w:szCs w:val="22"/>
              </w:rPr>
              <w:t xml:space="preserve"> to J&amp;J’s BLA application following inspections at a manufacturing facility </w:t>
            </w:r>
            <w:r w:rsidR="00012BDF" w:rsidRPr="00F21BB5">
              <w:rPr>
                <w:rFonts w:eastAsiaTheme="minorHAnsi"/>
                <w:b/>
                <w:bCs/>
                <w:color w:val="001756"/>
                <w:sz w:val="22"/>
                <w:szCs w:val="22"/>
              </w:rPr>
              <w:br/>
            </w:r>
          </w:p>
          <w:p w14:paraId="5AD44C0E" w14:textId="75FB17D1" w:rsidR="00300FF3" w:rsidRDefault="00F21BB5" w:rsidP="00300FF3">
            <w:pPr>
              <w:pStyle w:val="ListParagraph"/>
              <w:numPr>
                <w:ilvl w:val="0"/>
                <w:numId w:val="16"/>
              </w:numPr>
              <w:spacing w:line="252" w:lineRule="auto"/>
              <w:rPr>
                <w:b/>
                <w:bCs/>
                <w:color w:val="001756"/>
                <w:sz w:val="22"/>
                <w:szCs w:val="22"/>
              </w:rPr>
            </w:pPr>
            <w:r>
              <w:rPr>
                <w:b/>
                <w:bCs/>
                <w:color w:val="001756"/>
                <w:sz w:val="22"/>
                <w:szCs w:val="22"/>
              </w:rPr>
              <w:t>CHMP positive opinion</w:t>
            </w:r>
            <w:r w:rsidR="00012BDF" w:rsidRPr="00012BDF">
              <w:rPr>
                <w:b/>
                <w:bCs/>
                <w:color w:val="001756"/>
                <w:sz w:val="22"/>
                <w:szCs w:val="22"/>
              </w:rPr>
              <w:t xml:space="preserve"> is based on the results from the P3 </w:t>
            </w:r>
            <w:hyperlink r:id="rId13" w:history="1">
              <w:r w:rsidR="00012BDF" w:rsidRPr="00012BDF">
                <w:rPr>
                  <w:rStyle w:val="Hyperlink"/>
                  <w:b/>
                  <w:bCs/>
                  <w:sz w:val="22"/>
                  <w:szCs w:val="22"/>
                </w:rPr>
                <w:t>PALOMA-3 trial</w:t>
              </w:r>
            </w:hyperlink>
            <w:r w:rsidR="00012BDF" w:rsidRPr="00012BDF">
              <w:rPr>
                <w:b/>
                <w:bCs/>
                <w:color w:val="001756"/>
                <w:sz w:val="22"/>
                <w:szCs w:val="22"/>
              </w:rPr>
              <w:t xml:space="preserve">, which demonstrated non-inferiority vs. IV amivantamab in combination with </w:t>
            </w:r>
            <w:r w:rsidR="00ED2A9D">
              <w:rPr>
                <w:b/>
                <w:bCs/>
                <w:color w:val="001756"/>
                <w:sz w:val="22"/>
                <w:szCs w:val="22"/>
              </w:rPr>
              <w:t>l</w:t>
            </w:r>
            <w:r w:rsidR="00012BDF" w:rsidRPr="00012BDF">
              <w:rPr>
                <w:b/>
                <w:bCs/>
                <w:color w:val="001756"/>
                <w:sz w:val="22"/>
                <w:szCs w:val="22"/>
              </w:rPr>
              <w:t xml:space="preserve">azertinib in EGFRm patients after progression on osimertinib + chemo </w:t>
            </w:r>
          </w:p>
          <w:p w14:paraId="1FBE81DB" w14:textId="50904C90" w:rsidR="006406E8" w:rsidRPr="00146DEC" w:rsidRDefault="00E14416" w:rsidP="00DB2813">
            <w:pPr>
              <w:pStyle w:val="ListParagraph"/>
              <w:numPr>
                <w:ilvl w:val="1"/>
                <w:numId w:val="16"/>
              </w:numPr>
              <w:spacing w:line="252" w:lineRule="auto"/>
              <w:ind w:left="1080"/>
              <w:rPr>
                <w:color w:val="001756"/>
                <w:sz w:val="22"/>
                <w:szCs w:val="22"/>
              </w:rPr>
            </w:pPr>
            <w:r w:rsidRPr="5D27085A">
              <w:rPr>
                <w:rFonts w:asciiTheme="minorHAnsi" w:eastAsiaTheme="minorEastAsia" w:hAnsiTheme="minorHAnsi" w:cstheme="minorBidi"/>
                <w:color w:val="001756"/>
                <w:sz w:val="22"/>
                <w:szCs w:val="22"/>
              </w:rPr>
              <w:t>SC</w:t>
            </w:r>
            <w:r w:rsidR="00012BDF" w:rsidRPr="5D27085A">
              <w:rPr>
                <w:rFonts w:asciiTheme="minorHAnsi" w:eastAsiaTheme="minorEastAsia" w:hAnsiTheme="minorHAnsi" w:cstheme="minorBidi"/>
                <w:color w:val="001756"/>
                <w:sz w:val="22"/>
                <w:szCs w:val="22"/>
              </w:rPr>
              <w:t xml:space="preserve"> f</w:t>
            </w:r>
            <w:r w:rsidR="00012BDF" w:rsidRPr="00300FF3">
              <w:rPr>
                <w:color w:val="001756"/>
                <w:sz w:val="22"/>
                <w:szCs w:val="22"/>
              </w:rPr>
              <w:t xml:space="preserve">ormulation reduces administration time to five minutes (from five hours) and reduced infusion-related reactions </w:t>
            </w:r>
            <w:r w:rsidR="00BF493B">
              <w:rPr>
                <w:color w:val="001756"/>
                <w:sz w:val="22"/>
                <w:szCs w:val="22"/>
              </w:rPr>
              <w:t xml:space="preserve">(IRR) </w:t>
            </w:r>
            <w:r w:rsidR="003E4C31">
              <w:rPr>
                <w:color w:val="001756"/>
                <w:sz w:val="22"/>
                <w:szCs w:val="22"/>
              </w:rPr>
              <w:t xml:space="preserve">from </w:t>
            </w:r>
            <w:r w:rsidR="00F4066E">
              <w:rPr>
                <w:color w:val="001756"/>
                <w:sz w:val="22"/>
                <w:szCs w:val="22"/>
              </w:rPr>
              <w:t>66% to 13%</w:t>
            </w:r>
            <w:r w:rsidR="00217BD9">
              <w:rPr>
                <w:color w:val="001756"/>
                <w:sz w:val="22"/>
                <w:szCs w:val="22"/>
              </w:rPr>
              <w:t xml:space="preserve"> (</w:t>
            </w:r>
            <w:hyperlink r:id="rId14">
              <w:r w:rsidR="00217BD9" w:rsidRPr="5D27085A">
                <w:rPr>
                  <w:rStyle w:val="Hyperlink"/>
                  <w:sz w:val="22"/>
                  <w:szCs w:val="22"/>
                </w:rPr>
                <w:t>ASCO 2024</w:t>
              </w:r>
            </w:hyperlink>
            <w:r w:rsidR="00217BD9">
              <w:rPr>
                <w:rStyle w:val="Hyperlink"/>
                <w:sz w:val="22"/>
                <w:szCs w:val="22"/>
              </w:rPr>
              <w:t>)</w:t>
            </w:r>
            <w:r w:rsidR="00ED2A9D" w:rsidRPr="00146DEC">
              <w:rPr>
                <w:sz w:val="22"/>
                <w:szCs w:val="22"/>
              </w:rPr>
              <w:br/>
            </w:r>
          </w:p>
          <w:p w14:paraId="0A0BC3A3" w14:textId="1770037B" w:rsidR="000332C5" w:rsidRPr="00954EB3" w:rsidRDefault="006406E8" w:rsidP="004611E2">
            <w:pPr>
              <w:pStyle w:val="ListParagraph"/>
              <w:numPr>
                <w:ilvl w:val="0"/>
                <w:numId w:val="16"/>
              </w:numPr>
              <w:spacing w:line="252" w:lineRule="auto"/>
              <w:rPr>
                <w:color w:val="001756"/>
                <w:sz w:val="22"/>
                <w:szCs w:val="22"/>
              </w:rPr>
            </w:pPr>
            <w:r w:rsidRPr="00723F6B">
              <w:rPr>
                <w:b/>
                <w:bCs/>
                <w:color w:val="001756"/>
                <w:sz w:val="22"/>
                <w:szCs w:val="22"/>
              </w:rPr>
              <w:t xml:space="preserve">Rapid </w:t>
            </w:r>
            <w:r w:rsidR="00C9514B" w:rsidRPr="00723F6B">
              <w:rPr>
                <w:b/>
                <w:bCs/>
                <w:color w:val="001756"/>
                <w:sz w:val="22"/>
                <w:szCs w:val="22"/>
              </w:rPr>
              <w:t>s</w:t>
            </w:r>
            <w:r w:rsidR="00C9514B" w:rsidRPr="00DB2813">
              <w:rPr>
                <w:b/>
                <w:color w:val="001756"/>
                <w:sz w:val="22"/>
                <w:szCs w:val="22"/>
              </w:rPr>
              <w:t>ubstitution of the IV for SC</w:t>
            </w:r>
            <w:r w:rsidRPr="00723F6B">
              <w:rPr>
                <w:b/>
                <w:bCs/>
                <w:color w:val="001756"/>
                <w:sz w:val="22"/>
                <w:szCs w:val="22"/>
              </w:rPr>
              <w:t xml:space="preserve"> is expected</w:t>
            </w:r>
            <w:r w:rsidR="00CB3183" w:rsidRPr="00723F6B">
              <w:rPr>
                <w:b/>
                <w:bCs/>
                <w:color w:val="001756"/>
                <w:sz w:val="22"/>
                <w:szCs w:val="22"/>
              </w:rPr>
              <w:t xml:space="preserve"> due to </w:t>
            </w:r>
            <w:r w:rsidRPr="00723F6B">
              <w:rPr>
                <w:b/>
                <w:bCs/>
                <w:color w:val="001756"/>
                <w:sz w:val="22"/>
                <w:szCs w:val="22"/>
              </w:rPr>
              <w:t>improved convenience</w:t>
            </w:r>
            <w:r w:rsidR="00BF493B" w:rsidRPr="00723F6B">
              <w:rPr>
                <w:b/>
                <w:bCs/>
                <w:color w:val="001756"/>
                <w:sz w:val="22"/>
                <w:szCs w:val="22"/>
              </w:rPr>
              <w:t xml:space="preserve"> and reduced IRR</w:t>
            </w:r>
            <w:r w:rsidR="00D14B7C" w:rsidRPr="00723F6B">
              <w:rPr>
                <w:b/>
                <w:bCs/>
                <w:color w:val="001756"/>
                <w:sz w:val="22"/>
                <w:szCs w:val="22"/>
              </w:rPr>
              <w:t xml:space="preserve">. Yet </w:t>
            </w:r>
            <w:proofErr w:type="gramStart"/>
            <w:r w:rsidR="00D14B7C" w:rsidRPr="00723F6B">
              <w:rPr>
                <w:b/>
                <w:bCs/>
                <w:color w:val="001756"/>
                <w:sz w:val="22"/>
                <w:szCs w:val="22"/>
              </w:rPr>
              <w:t>a num</w:t>
            </w:r>
            <w:r w:rsidR="00EC1FBB" w:rsidRPr="00723F6B">
              <w:rPr>
                <w:b/>
                <w:bCs/>
                <w:color w:val="001756"/>
                <w:sz w:val="22"/>
                <w:szCs w:val="22"/>
              </w:rPr>
              <w:t>ber of</w:t>
            </w:r>
            <w:proofErr w:type="gramEnd"/>
            <w:r w:rsidR="00EC1FBB" w:rsidRPr="00723F6B">
              <w:rPr>
                <w:b/>
                <w:bCs/>
                <w:color w:val="001756"/>
                <w:sz w:val="22"/>
                <w:szCs w:val="22"/>
              </w:rPr>
              <w:t xml:space="preserve"> </w:t>
            </w:r>
            <w:proofErr w:type="spellStart"/>
            <w:r w:rsidR="00EC1FBB" w:rsidRPr="00723F6B">
              <w:rPr>
                <w:b/>
                <w:bCs/>
                <w:color w:val="001756"/>
                <w:sz w:val="22"/>
                <w:szCs w:val="22"/>
              </w:rPr>
              <w:t>amivantamab’s</w:t>
            </w:r>
            <w:proofErr w:type="spellEnd"/>
            <w:r w:rsidR="00EC1FBB" w:rsidRPr="00723F6B">
              <w:rPr>
                <w:b/>
                <w:bCs/>
                <w:color w:val="001756"/>
                <w:sz w:val="22"/>
                <w:szCs w:val="22"/>
              </w:rPr>
              <w:t xml:space="preserve"> AEs will remain in the SC formulation </w:t>
            </w:r>
          </w:p>
          <w:p w14:paraId="0AB257D4" w14:textId="4CFD472C" w:rsidR="00954EB3" w:rsidRDefault="001A4ED4" w:rsidP="00DB2813">
            <w:pPr>
              <w:pStyle w:val="ListParagraph"/>
              <w:numPr>
                <w:ilvl w:val="1"/>
                <w:numId w:val="16"/>
              </w:numPr>
              <w:spacing w:line="252" w:lineRule="auto"/>
              <w:ind w:left="1080"/>
              <w:rPr>
                <w:color w:val="001756"/>
                <w:sz w:val="22"/>
                <w:szCs w:val="22"/>
              </w:rPr>
            </w:pPr>
            <w:proofErr w:type="gramStart"/>
            <w:r>
              <w:rPr>
                <w:color w:val="001756"/>
                <w:sz w:val="22"/>
                <w:szCs w:val="22"/>
              </w:rPr>
              <w:t>Overall</w:t>
            </w:r>
            <w:proofErr w:type="gramEnd"/>
            <w:r>
              <w:rPr>
                <w:color w:val="001756"/>
                <w:sz w:val="22"/>
                <w:szCs w:val="22"/>
              </w:rPr>
              <w:t xml:space="preserve"> </w:t>
            </w:r>
            <w:r w:rsidR="00191131">
              <w:rPr>
                <w:color w:val="001756"/>
                <w:sz w:val="22"/>
                <w:szCs w:val="22"/>
              </w:rPr>
              <w:t>Gr≥3 TE</w:t>
            </w:r>
            <w:r w:rsidR="006D4FD0">
              <w:rPr>
                <w:color w:val="001756"/>
                <w:sz w:val="22"/>
                <w:szCs w:val="22"/>
              </w:rPr>
              <w:t>AEs were similar in the IV and SC</w:t>
            </w:r>
            <w:r w:rsidR="00AA0E53">
              <w:rPr>
                <w:color w:val="001756"/>
                <w:sz w:val="22"/>
                <w:szCs w:val="22"/>
              </w:rPr>
              <w:t xml:space="preserve"> arms of PALOMA-3</w:t>
            </w:r>
            <w:r w:rsidR="006D4FD0">
              <w:rPr>
                <w:color w:val="001756"/>
                <w:sz w:val="22"/>
                <w:szCs w:val="22"/>
              </w:rPr>
              <w:t>: 56% vs 52%</w:t>
            </w:r>
            <w:r w:rsidR="00302E30">
              <w:rPr>
                <w:color w:val="001756"/>
                <w:sz w:val="22"/>
                <w:szCs w:val="22"/>
              </w:rPr>
              <w:t xml:space="preserve"> and include rash</w:t>
            </w:r>
            <w:r w:rsidR="005B60D8">
              <w:rPr>
                <w:color w:val="001756"/>
                <w:sz w:val="22"/>
                <w:szCs w:val="22"/>
              </w:rPr>
              <w:t xml:space="preserve"> (10% vs </w:t>
            </w:r>
            <w:r w:rsidR="009D3A72">
              <w:rPr>
                <w:color w:val="001756"/>
                <w:sz w:val="22"/>
                <w:szCs w:val="22"/>
              </w:rPr>
              <w:t>13%</w:t>
            </w:r>
            <w:r>
              <w:rPr>
                <w:color w:val="001756"/>
                <w:sz w:val="22"/>
                <w:szCs w:val="22"/>
              </w:rPr>
              <w:t>)</w:t>
            </w:r>
            <w:r w:rsidR="00302E30">
              <w:rPr>
                <w:color w:val="001756"/>
                <w:sz w:val="22"/>
                <w:szCs w:val="22"/>
              </w:rPr>
              <w:t>, paronychia</w:t>
            </w:r>
            <w:r w:rsidR="00AE19E8">
              <w:rPr>
                <w:color w:val="001756"/>
                <w:sz w:val="22"/>
                <w:szCs w:val="22"/>
              </w:rPr>
              <w:t xml:space="preserve"> (1</w:t>
            </w:r>
            <w:r w:rsidR="005F401E">
              <w:rPr>
                <w:color w:val="001756"/>
                <w:sz w:val="22"/>
                <w:szCs w:val="22"/>
              </w:rPr>
              <w:t xml:space="preserve">% </w:t>
            </w:r>
            <w:r w:rsidR="00AE19E8">
              <w:rPr>
                <w:color w:val="001756"/>
                <w:sz w:val="22"/>
                <w:szCs w:val="22"/>
              </w:rPr>
              <w:t>vs 4%)</w:t>
            </w:r>
            <w:r w:rsidR="00C70E16">
              <w:rPr>
                <w:color w:val="001756"/>
                <w:sz w:val="22"/>
                <w:szCs w:val="22"/>
              </w:rPr>
              <w:t xml:space="preserve"> and </w:t>
            </w:r>
            <w:r w:rsidR="00F73610">
              <w:rPr>
                <w:color w:val="001756"/>
                <w:sz w:val="22"/>
                <w:szCs w:val="22"/>
              </w:rPr>
              <w:t xml:space="preserve">VTE </w:t>
            </w:r>
            <w:r w:rsidR="00321C06">
              <w:rPr>
                <w:color w:val="001756"/>
                <w:sz w:val="22"/>
                <w:szCs w:val="22"/>
              </w:rPr>
              <w:t>(</w:t>
            </w:r>
            <w:r w:rsidR="000D4C42">
              <w:rPr>
                <w:color w:val="001756"/>
                <w:sz w:val="22"/>
                <w:szCs w:val="22"/>
              </w:rPr>
              <w:t>all grade 26</w:t>
            </w:r>
            <w:r w:rsidR="00321C06">
              <w:rPr>
                <w:color w:val="001756"/>
                <w:sz w:val="22"/>
                <w:szCs w:val="22"/>
              </w:rPr>
              <w:t xml:space="preserve">% vs </w:t>
            </w:r>
            <w:r w:rsidR="000D4C42">
              <w:rPr>
                <w:color w:val="001756"/>
                <w:sz w:val="22"/>
                <w:szCs w:val="22"/>
              </w:rPr>
              <w:t>17</w:t>
            </w:r>
            <w:r w:rsidR="00321C06">
              <w:rPr>
                <w:color w:val="001756"/>
                <w:sz w:val="22"/>
                <w:szCs w:val="22"/>
              </w:rPr>
              <w:t xml:space="preserve">%, with </w:t>
            </w:r>
            <w:r w:rsidR="000D4C42">
              <w:rPr>
                <w:color w:val="001756"/>
                <w:sz w:val="22"/>
                <w:szCs w:val="22"/>
              </w:rPr>
              <w:t xml:space="preserve">reduced rates of </w:t>
            </w:r>
            <w:r w:rsidR="00172CC6" w:rsidRPr="00172CC6">
              <w:rPr>
                <w:color w:val="001756"/>
                <w:sz w:val="22"/>
                <w:szCs w:val="22"/>
              </w:rPr>
              <w:t xml:space="preserve">Gr≥3 </w:t>
            </w:r>
            <w:r w:rsidR="0074516C">
              <w:rPr>
                <w:color w:val="001756"/>
                <w:sz w:val="22"/>
                <w:szCs w:val="22"/>
              </w:rPr>
              <w:t>VTE</w:t>
            </w:r>
            <w:r w:rsidR="00A41A7A">
              <w:rPr>
                <w:color w:val="001756"/>
                <w:sz w:val="22"/>
                <w:szCs w:val="22"/>
              </w:rPr>
              <w:t xml:space="preserve"> in the SC arm </w:t>
            </w:r>
          </w:p>
          <w:p w14:paraId="60EA64F6" w14:textId="77777777" w:rsidR="00915F16" w:rsidRPr="00723F6B" w:rsidRDefault="00915F16" w:rsidP="00915F16">
            <w:pPr>
              <w:pStyle w:val="ListParagraph"/>
              <w:spacing w:line="252" w:lineRule="auto"/>
              <w:ind w:left="1440"/>
              <w:rPr>
                <w:color w:val="001756"/>
                <w:sz w:val="22"/>
                <w:szCs w:val="22"/>
              </w:rPr>
            </w:pPr>
          </w:p>
          <w:p w14:paraId="1A43FD34" w14:textId="77777777" w:rsidR="000332C5" w:rsidRPr="000332C5" w:rsidRDefault="000332C5" w:rsidP="000332C5">
            <w:pPr>
              <w:numPr>
                <w:ilvl w:val="0"/>
                <w:numId w:val="16"/>
              </w:numPr>
              <w:spacing w:line="252" w:lineRule="auto"/>
              <w:rPr>
                <w:b/>
                <w:bCs/>
                <w:color w:val="001756"/>
                <w:sz w:val="22"/>
                <w:szCs w:val="22"/>
              </w:rPr>
            </w:pPr>
            <w:r w:rsidRPr="000332C5">
              <w:rPr>
                <w:b/>
                <w:bCs/>
                <w:color w:val="001756"/>
                <w:sz w:val="22"/>
                <w:szCs w:val="22"/>
              </w:rPr>
              <w:t xml:space="preserve">J&amp;J’s </w:t>
            </w:r>
            <w:proofErr w:type="spellStart"/>
            <w:r w:rsidRPr="000332C5">
              <w:rPr>
                <w:b/>
                <w:bCs/>
                <w:color w:val="001756"/>
                <w:sz w:val="22"/>
                <w:szCs w:val="22"/>
              </w:rPr>
              <w:t>amivantamab</w:t>
            </w:r>
            <w:proofErr w:type="spellEnd"/>
            <w:r w:rsidRPr="000332C5">
              <w:rPr>
                <w:b/>
                <w:bCs/>
                <w:color w:val="001756"/>
                <w:sz w:val="22"/>
                <w:szCs w:val="22"/>
              </w:rPr>
              <w:t xml:space="preserve"> (</w:t>
            </w:r>
            <w:proofErr w:type="spellStart"/>
            <w:r w:rsidRPr="000332C5">
              <w:rPr>
                <w:b/>
                <w:bCs/>
                <w:color w:val="001756"/>
                <w:sz w:val="22"/>
                <w:szCs w:val="22"/>
              </w:rPr>
              <w:t>Rybrevant</w:t>
            </w:r>
            <w:proofErr w:type="spellEnd"/>
            <w:r w:rsidRPr="000332C5">
              <w:rPr>
                <w:b/>
                <w:bCs/>
                <w:color w:val="001756"/>
                <w:sz w:val="22"/>
                <w:szCs w:val="22"/>
              </w:rPr>
              <w:t xml:space="preserve">) is co-formulated with Halozyme’s recombinant human hyaluronidase (rHuPH20, </w:t>
            </w:r>
            <w:proofErr w:type="spellStart"/>
            <w:r w:rsidRPr="000332C5">
              <w:rPr>
                <w:b/>
                <w:bCs/>
                <w:color w:val="001756"/>
                <w:sz w:val="22"/>
                <w:szCs w:val="22"/>
              </w:rPr>
              <w:t>Enhanze</w:t>
            </w:r>
            <w:proofErr w:type="spellEnd"/>
            <w:r w:rsidRPr="000332C5">
              <w:rPr>
                <w:b/>
                <w:bCs/>
                <w:color w:val="001756"/>
                <w:sz w:val="22"/>
                <w:szCs w:val="22"/>
              </w:rPr>
              <w:t xml:space="preserve">) and is the first SC </w:t>
            </w:r>
            <w:proofErr w:type="spellStart"/>
            <w:r w:rsidRPr="000332C5">
              <w:rPr>
                <w:b/>
                <w:bCs/>
                <w:color w:val="001756"/>
                <w:sz w:val="22"/>
                <w:szCs w:val="22"/>
              </w:rPr>
              <w:t>bsAb</w:t>
            </w:r>
            <w:proofErr w:type="spellEnd"/>
            <w:r w:rsidRPr="000332C5">
              <w:rPr>
                <w:b/>
                <w:bCs/>
                <w:color w:val="001756"/>
                <w:sz w:val="22"/>
                <w:szCs w:val="22"/>
              </w:rPr>
              <w:t xml:space="preserve"> set for approval in NSCLC</w:t>
            </w:r>
          </w:p>
          <w:p w14:paraId="6B8F4699" w14:textId="3D557767" w:rsidR="000332C5" w:rsidRPr="000332C5" w:rsidRDefault="000332C5" w:rsidP="00DB2813">
            <w:pPr>
              <w:pStyle w:val="ListParagraph"/>
              <w:numPr>
                <w:ilvl w:val="1"/>
                <w:numId w:val="16"/>
              </w:numPr>
              <w:spacing w:line="252" w:lineRule="auto"/>
              <w:ind w:left="1080"/>
              <w:rPr>
                <w:color w:val="001756"/>
                <w:sz w:val="22"/>
                <w:szCs w:val="22"/>
              </w:rPr>
            </w:pPr>
            <w:r w:rsidRPr="000332C5">
              <w:rPr>
                <w:rFonts w:eastAsiaTheme="minorHAnsi"/>
                <w:color w:val="001756"/>
                <w:sz w:val="22"/>
                <w:szCs w:val="22"/>
              </w:rPr>
              <w:t xml:space="preserve">BMS’ SC nivolumab (PD-1 </w:t>
            </w:r>
            <w:proofErr w:type="spellStart"/>
            <w:r w:rsidRPr="000332C5">
              <w:rPr>
                <w:rFonts w:eastAsiaTheme="minorHAnsi"/>
                <w:color w:val="001756"/>
                <w:sz w:val="22"/>
                <w:szCs w:val="22"/>
              </w:rPr>
              <w:t>mAb</w:t>
            </w:r>
            <w:proofErr w:type="spellEnd"/>
            <w:r w:rsidRPr="000332C5">
              <w:rPr>
                <w:rFonts w:eastAsiaTheme="minorHAnsi"/>
                <w:color w:val="001756"/>
                <w:sz w:val="22"/>
                <w:szCs w:val="22"/>
              </w:rPr>
              <w:t xml:space="preserve">) and Roche’s SC atezolizumab (PD-L1 </w:t>
            </w:r>
            <w:proofErr w:type="spellStart"/>
            <w:r w:rsidRPr="000332C5">
              <w:rPr>
                <w:rFonts w:eastAsiaTheme="minorHAnsi"/>
                <w:color w:val="001756"/>
                <w:sz w:val="22"/>
                <w:szCs w:val="22"/>
              </w:rPr>
              <w:t>mAb</w:t>
            </w:r>
            <w:proofErr w:type="spellEnd"/>
            <w:r w:rsidRPr="000332C5">
              <w:rPr>
                <w:rFonts w:eastAsiaTheme="minorHAnsi"/>
                <w:color w:val="001756"/>
                <w:sz w:val="22"/>
                <w:szCs w:val="22"/>
              </w:rPr>
              <w:t xml:space="preserve">), also rely on Halozyme’s technology and were approved by the FDA in 2H 2024. Merck’s SC pembrolizumab is expected to be approved in 2H 2025, following positive data released in 2024 with </w:t>
            </w:r>
            <w:proofErr w:type="spellStart"/>
            <w:r w:rsidRPr="000332C5">
              <w:rPr>
                <w:color w:val="001756"/>
                <w:sz w:val="22"/>
                <w:szCs w:val="22"/>
              </w:rPr>
              <w:t>Alteogen</w:t>
            </w:r>
            <w:r w:rsidRPr="000332C5">
              <w:rPr>
                <w:rFonts w:eastAsiaTheme="minorHAnsi"/>
                <w:color w:val="001756"/>
                <w:sz w:val="22"/>
                <w:szCs w:val="22"/>
              </w:rPr>
              <w:t>’s</w:t>
            </w:r>
            <w:proofErr w:type="spellEnd"/>
            <w:r w:rsidRPr="000332C5">
              <w:rPr>
                <w:color w:val="001756"/>
                <w:sz w:val="22"/>
                <w:szCs w:val="22"/>
              </w:rPr>
              <w:t xml:space="preserve"> hyaluronidase technology</w:t>
            </w:r>
          </w:p>
          <w:p w14:paraId="2E6C415D" w14:textId="768AFF7E" w:rsidR="002A6FA5" w:rsidRPr="00300FF3" w:rsidRDefault="002A6FA5" w:rsidP="00300FF3">
            <w:pPr>
              <w:spacing w:line="252" w:lineRule="auto"/>
              <w:rPr>
                <w:color w:val="001756"/>
                <w:sz w:val="22"/>
                <w:szCs w:val="22"/>
              </w:rPr>
            </w:pPr>
          </w:p>
        </w:tc>
      </w:tr>
      <w:tr w:rsidR="00CF1A93" w:rsidRPr="00452BFD" w14:paraId="237D0F76" w14:textId="77777777" w:rsidTr="00AC3027">
        <w:tc>
          <w:tcPr>
            <w:tcW w:w="9350" w:type="dxa"/>
          </w:tcPr>
          <w:p w14:paraId="6E6E95FD" w14:textId="155CF949" w:rsidR="0092288D" w:rsidRPr="00452BFD" w:rsidRDefault="0092288D" w:rsidP="0092288D">
            <w:pPr>
              <w:spacing w:line="252" w:lineRule="auto"/>
              <w:rPr>
                <w:b/>
                <w:bCs/>
                <w:color w:val="091B46"/>
                <w:sz w:val="22"/>
                <w:szCs w:val="22"/>
              </w:rPr>
            </w:pPr>
          </w:p>
        </w:tc>
      </w:tr>
      <w:tr w:rsidR="00AC3027" w:rsidRPr="00452BFD" w14:paraId="112D49DE" w14:textId="77777777" w:rsidTr="00AC3027">
        <w:tc>
          <w:tcPr>
            <w:tcW w:w="9350" w:type="dxa"/>
          </w:tcPr>
          <w:p w14:paraId="4916F7CD" w14:textId="4C3C2008" w:rsidR="00AC3027" w:rsidRPr="00452BFD" w:rsidRDefault="00AC3027" w:rsidP="00960CF9">
            <w:pPr>
              <w:spacing w:line="252" w:lineRule="auto"/>
              <w:rPr>
                <w:sz w:val="22"/>
                <w:szCs w:val="22"/>
              </w:rPr>
            </w:pPr>
            <w:r w:rsidRPr="00452BFD">
              <w:rPr>
                <w:b/>
                <w:bCs/>
                <w:color w:val="091B46"/>
                <w:sz w:val="22"/>
                <w:szCs w:val="22"/>
              </w:rPr>
              <w:t xml:space="preserve">Disclaimer: </w:t>
            </w:r>
            <w:r w:rsidRPr="00452BFD">
              <w:rPr>
                <w:i/>
                <w:iCs/>
                <w:color w:val="000000"/>
                <w:sz w:val="22"/>
                <w:szCs w:val="22"/>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GMABI/MABI, Legal or Compliance (OEC) teams with any questions.</w:t>
            </w:r>
          </w:p>
        </w:tc>
      </w:tr>
    </w:tbl>
    <w:p w14:paraId="0EA23253" w14:textId="0CFABCB6" w:rsidR="00630AA2" w:rsidRPr="00452BFD" w:rsidRDefault="00630AA2">
      <w:pPr>
        <w:rPr>
          <w:sz w:val="22"/>
          <w:szCs w:val="22"/>
        </w:rPr>
      </w:pPr>
    </w:p>
    <w:p w14:paraId="05F04F19" w14:textId="77777777" w:rsidR="00452BFD" w:rsidRPr="00452BFD" w:rsidRDefault="00452BFD">
      <w:pPr>
        <w:rPr>
          <w:sz w:val="22"/>
          <w:szCs w:val="22"/>
        </w:rPr>
      </w:pPr>
    </w:p>
    <w:sectPr w:rsidR="00452BFD" w:rsidRPr="00452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82395"/>
    <w:multiLevelType w:val="multilevel"/>
    <w:tmpl w:val="A0B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3067"/>
    <w:multiLevelType w:val="hybridMultilevel"/>
    <w:tmpl w:val="244CC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47A49"/>
    <w:multiLevelType w:val="hybridMultilevel"/>
    <w:tmpl w:val="8CE6D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06FC4"/>
    <w:multiLevelType w:val="multilevel"/>
    <w:tmpl w:val="E2F2F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780A6E"/>
    <w:multiLevelType w:val="multilevel"/>
    <w:tmpl w:val="C39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12F4C"/>
    <w:multiLevelType w:val="multilevel"/>
    <w:tmpl w:val="8286D30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40B640BE"/>
    <w:multiLevelType w:val="hybridMultilevel"/>
    <w:tmpl w:val="E5C20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E37A51"/>
    <w:multiLevelType w:val="multilevel"/>
    <w:tmpl w:val="95D8E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565BDC"/>
    <w:multiLevelType w:val="hybridMultilevel"/>
    <w:tmpl w:val="8B92D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ED86178"/>
    <w:multiLevelType w:val="hybridMultilevel"/>
    <w:tmpl w:val="25C41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C572B6"/>
    <w:multiLevelType w:val="hybridMultilevel"/>
    <w:tmpl w:val="FC889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0A319F"/>
    <w:multiLevelType w:val="hybridMultilevel"/>
    <w:tmpl w:val="B1BC0B52"/>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3" w15:restartNumberingAfterBreak="0">
    <w:nsid w:val="78EF3CD6"/>
    <w:multiLevelType w:val="hybridMultilevel"/>
    <w:tmpl w:val="4E4A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F3BB1"/>
    <w:multiLevelType w:val="hybridMultilevel"/>
    <w:tmpl w:val="9A2AEC9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356E68"/>
    <w:multiLevelType w:val="hybridMultilevel"/>
    <w:tmpl w:val="B06A5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451885">
    <w:abstractNumId w:val="4"/>
  </w:num>
  <w:num w:numId="2" w16cid:durableId="149643648">
    <w:abstractNumId w:val="6"/>
  </w:num>
  <w:num w:numId="3" w16cid:durableId="209272648">
    <w:abstractNumId w:val="11"/>
  </w:num>
  <w:num w:numId="4" w16cid:durableId="555626048">
    <w:abstractNumId w:val="15"/>
  </w:num>
  <w:num w:numId="5" w16cid:durableId="1442145359">
    <w:abstractNumId w:val="13"/>
  </w:num>
  <w:num w:numId="6" w16cid:durableId="1048644897">
    <w:abstractNumId w:val="14"/>
  </w:num>
  <w:num w:numId="7" w16cid:durableId="1601331423">
    <w:abstractNumId w:val="5"/>
  </w:num>
  <w:num w:numId="8" w16cid:durableId="143358275">
    <w:abstractNumId w:val="7"/>
  </w:num>
  <w:num w:numId="9" w16cid:durableId="551422792">
    <w:abstractNumId w:val="12"/>
  </w:num>
  <w:num w:numId="10" w16cid:durableId="208960641">
    <w:abstractNumId w:val="8"/>
  </w:num>
  <w:num w:numId="11" w16cid:durableId="705837864">
    <w:abstractNumId w:val="0"/>
  </w:num>
  <w:num w:numId="12" w16cid:durableId="383480461">
    <w:abstractNumId w:val="1"/>
  </w:num>
  <w:num w:numId="13" w16cid:durableId="2054688924">
    <w:abstractNumId w:val="10"/>
  </w:num>
  <w:num w:numId="14" w16cid:durableId="2073386792">
    <w:abstractNumId w:val="9"/>
  </w:num>
  <w:num w:numId="15" w16cid:durableId="44835708">
    <w:abstractNumId w:val="2"/>
  </w:num>
  <w:num w:numId="16" w16cid:durableId="1202329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6F"/>
    <w:rsid w:val="00004845"/>
    <w:rsid w:val="00012BDF"/>
    <w:rsid w:val="00016E6F"/>
    <w:rsid w:val="000332C5"/>
    <w:rsid w:val="000422E9"/>
    <w:rsid w:val="00047412"/>
    <w:rsid w:val="000609FE"/>
    <w:rsid w:val="00061B6D"/>
    <w:rsid w:val="00071A43"/>
    <w:rsid w:val="000837F3"/>
    <w:rsid w:val="00091DA6"/>
    <w:rsid w:val="00094B1A"/>
    <w:rsid w:val="000C126A"/>
    <w:rsid w:val="000D4C42"/>
    <w:rsid w:val="000E1C61"/>
    <w:rsid w:val="000F79CE"/>
    <w:rsid w:val="00113D97"/>
    <w:rsid w:val="00122F5E"/>
    <w:rsid w:val="0012670D"/>
    <w:rsid w:val="00126A70"/>
    <w:rsid w:val="00136A35"/>
    <w:rsid w:val="00144038"/>
    <w:rsid w:val="00146DEC"/>
    <w:rsid w:val="00157C81"/>
    <w:rsid w:val="00166BB0"/>
    <w:rsid w:val="00167CEF"/>
    <w:rsid w:val="00171435"/>
    <w:rsid w:val="00172CC6"/>
    <w:rsid w:val="00184ACF"/>
    <w:rsid w:val="00191131"/>
    <w:rsid w:val="00192502"/>
    <w:rsid w:val="001A3ACE"/>
    <w:rsid w:val="001A4ED4"/>
    <w:rsid w:val="001D0C55"/>
    <w:rsid w:val="001E43E6"/>
    <w:rsid w:val="0020523C"/>
    <w:rsid w:val="00206187"/>
    <w:rsid w:val="0021079D"/>
    <w:rsid w:val="00213FB7"/>
    <w:rsid w:val="00217BD9"/>
    <w:rsid w:val="00222526"/>
    <w:rsid w:val="00227485"/>
    <w:rsid w:val="002329C9"/>
    <w:rsid w:val="0024186E"/>
    <w:rsid w:val="00250453"/>
    <w:rsid w:val="00252053"/>
    <w:rsid w:val="002634B3"/>
    <w:rsid w:val="00263DF9"/>
    <w:rsid w:val="00265AA6"/>
    <w:rsid w:val="00290F63"/>
    <w:rsid w:val="00291F91"/>
    <w:rsid w:val="00294EB7"/>
    <w:rsid w:val="00296C28"/>
    <w:rsid w:val="002A376D"/>
    <w:rsid w:val="002A6C6B"/>
    <w:rsid w:val="002A6FA5"/>
    <w:rsid w:val="002B7820"/>
    <w:rsid w:val="002C1BF1"/>
    <w:rsid w:val="002C587C"/>
    <w:rsid w:val="002D1994"/>
    <w:rsid w:val="002D4710"/>
    <w:rsid w:val="002E4D62"/>
    <w:rsid w:val="002E6AF3"/>
    <w:rsid w:val="002E714F"/>
    <w:rsid w:val="00300FF3"/>
    <w:rsid w:val="00302E30"/>
    <w:rsid w:val="00311413"/>
    <w:rsid w:val="00312C04"/>
    <w:rsid w:val="00314494"/>
    <w:rsid w:val="00321C06"/>
    <w:rsid w:val="00337023"/>
    <w:rsid w:val="00345541"/>
    <w:rsid w:val="003525F3"/>
    <w:rsid w:val="00357355"/>
    <w:rsid w:val="00363082"/>
    <w:rsid w:val="00365E5B"/>
    <w:rsid w:val="003834DB"/>
    <w:rsid w:val="00391DDF"/>
    <w:rsid w:val="0039522C"/>
    <w:rsid w:val="003A5383"/>
    <w:rsid w:val="003B2384"/>
    <w:rsid w:val="003C49E7"/>
    <w:rsid w:val="003D59A6"/>
    <w:rsid w:val="003E43BF"/>
    <w:rsid w:val="003E4C31"/>
    <w:rsid w:val="003E6048"/>
    <w:rsid w:val="00405A33"/>
    <w:rsid w:val="004120C0"/>
    <w:rsid w:val="0041505E"/>
    <w:rsid w:val="00423402"/>
    <w:rsid w:val="004319B3"/>
    <w:rsid w:val="0043792E"/>
    <w:rsid w:val="0044169F"/>
    <w:rsid w:val="00443DA4"/>
    <w:rsid w:val="00452BFD"/>
    <w:rsid w:val="00461F7F"/>
    <w:rsid w:val="00470CCA"/>
    <w:rsid w:val="004B1411"/>
    <w:rsid w:val="004C0FA1"/>
    <w:rsid w:val="004C6166"/>
    <w:rsid w:val="004F4417"/>
    <w:rsid w:val="00506DB2"/>
    <w:rsid w:val="00530378"/>
    <w:rsid w:val="00537BA4"/>
    <w:rsid w:val="00553D02"/>
    <w:rsid w:val="00562602"/>
    <w:rsid w:val="0059186E"/>
    <w:rsid w:val="005969F1"/>
    <w:rsid w:val="005B60D8"/>
    <w:rsid w:val="005C6D4E"/>
    <w:rsid w:val="005D4B45"/>
    <w:rsid w:val="005D5CC9"/>
    <w:rsid w:val="005E7926"/>
    <w:rsid w:val="005F401E"/>
    <w:rsid w:val="0060025E"/>
    <w:rsid w:val="00602725"/>
    <w:rsid w:val="00607140"/>
    <w:rsid w:val="006251D0"/>
    <w:rsid w:val="00627674"/>
    <w:rsid w:val="00630AA2"/>
    <w:rsid w:val="006406E8"/>
    <w:rsid w:val="00656FA3"/>
    <w:rsid w:val="00662D6A"/>
    <w:rsid w:val="00665A8F"/>
    <w:rsid w:val="00666656"/>
    <w:rsid w:val="0067494C"/>
    <w:rsid w:val="0069537E"/>
    <w:rsid w:val="006A336F"/>
    <w:rsid w:val="006C2E75"/>
    <w:rsid w:val="006C3835"/>
    <w:rsid w:val="006C6E6A"/>
    <w:rsid w:val="006C792F"/>
    <w:rsid w:val="006D3CF8"/>
    <w:rsid w:val="006D4FD0"/>
    <w:rsid w:val="006F16AF"/>
    <w:rsid w:val="007035B8"/>
    <w:rsid w:val="00715907"/>
    <w:rsid w:val="00723F6B"/>
    <w:rsid w:val="00740D78"/>
    <w:rsid w:val="0074324C"/>
    <w:rsid w:val="0074516C"/>
    <w:rsid w:val="00751F34"/>
    <w:rsid w:val="00762746"/>
    <w:rsid w:val="00777317"/>
    <w:rsid w:val="00782513"/>
    <w:rsid w:val="00793F13"/>
    <w:rsid w:val="007C501F"/>
    <w:rsid w:val="007E0B16"/>
    <w:rsid w:val="007F16D1"/>
    <w:rsid w:val="007F203F"/>
    <w:rsid w:val="007F366F"/>
    <w:rsid w:val="008119C7"/>
    <w:rsid w:val="00820D2B"/>
    <w:rsid w:val="00823B0C"/>
    <w:rsid w:val="00833CAD"/>
    <w:rsid w:val="00844250"/>
    <w:rsid w:val="0084507E"/>
    <w:rsid w:val="008564C7"/>
    <w:rsid w:val="00874CD9"/>
    <w:rsid w:val="008B74AB"/>
    <w:rsid w:val="008C0696"/>
    <w:rsid w:val="008C0CEF"/>
    <w:rsid w:val="008C4731"/>
    <w:rsid w:val="008C60A0"/>
    <w:rsid w:val="008C6827"/>
    <w:rsid w:val="008D663C"/>
    <w:rsid w:val="00912534"/>
    <w:rsid w:val="00915F16"/>
    <w:rsid w:val="00921AF2"/>
    <w:rsid w:val="0092288D"/>
    <w:rsid w:val="009308D0"/>
    <w:rsid w:val="0094221C"/>
    <w:rsid w:val="00954EB3"/>
    <w:rsid w:val="0096043A"/>
    <w:rsid w:val="0096345F"/>
    <w:rsid w:val="009765D2"/>
    <w:rsid w:val="0098328D"/>
    <w:rsid w:val="00985B61"/>
    <w:rsid w:val="009868A9"/>
    <w:rsid w:val="009943B4"/>
    <w:rsid w:val="00996200"/>
    <w:rsid w:val="009975D4"/>
    <w:rsid w:val="00997B67"/>
    <w:rsid w:val="009B2654"/>
    <w:rsid w:val="009C04D8"/>
    <w:rsid w:val="009D3552"/>
    <w:rsid w:val="009D3A72"/>
    <w:rsid w:val="009D641B"/>
    <w:rsid w:val="009F0879"/>
    <w:rsid w:val="009F5DEA"/>
    <w:rsid w:val="00A06838"/>
    <w:rsid w:val="00A174AB"/>
    <w:rsid w:val="00A22F72"/>
    <w:rsid w:val="00A26343"/>
    <w:rsid w:val="00A41A7A"/>
    <w:rsid w:val="00A43CBB"/>
    <w:rsid w:val="00A44714"/>
    <w:rsid w:val="00A479AA"/>
    <w:rsid w:val="00A61B37"/>
    <w:rsid w:val="00A65D8B"/>
    <w:rsid w:val="00A94A4B"/>
    <w:rsid w:val="00AA0E53"/>
    <w:rsid w:val="00AB1C13"/>
    <w:rsid w:val="00AC3027"/>
    <w:rsid w:val="00AC3DB0"/>
    <w:rsid w:val="00AE0447"/>
    <w:rsid w:val="00AE0475"/>
    <w:rsid w:val="00AE19E8"/>
    <w:rsid w:val="00AF6450"/>
    <w:rsid w:val="00B246BB"/>
    <w:rsid w:val="00B345C7"/>
    <w:rsid w:val="00B61B84"/>
    <w:rsid w:val="00B81C07"/>
    <w:rsid w:val="00B92800"/>
    <w:rsid w:val="00BA296B"/>
    <w:rsid w:val="00BA44AF"/>
    <w:rsid w:val="00BC0485"/>
    <w:rsid w:val="00BE5169"/>
    <w:rsid w:val="00BF493B"/>
    <w:rsid w:val="00BF7414"/>
    <w:rsid w:val="00C01FF7"/>
    <w:rsid w:val="00C16D0C"/>
    <w:rsid w:val="00C20A2A"/>
    <w:rsid w:val="00C2460E"/>
    <w:rsid w:val="00C521E7"/>
    <w:rsid w:val="00C535B2"/>
    <w:rsid w:val="00C70E16"/>
    <w:rsid w:val="00C75D40"/>
    <w:rsid w:val="00C9514B"/>
    <w:rsid w:val="00C9773D"/>
    <w:rsid w:val="00CB1DD0"/>
    <w:rsid w:val="00CB2343"/>
    <w:rsid w:val="00CB3183"/>
    <w:rsid w:val="00CC22D9"/>
    <w:rsid w:val="00CC77E8"/>
    <w:rsid w:val="00CD4905"/>
    <w:rsid w:val="00CF1A93"/>
    <w:rsid w:val="00D14B7C"/>
    <w:rsid w:val="00D1708B"/>
    <w:rsid w:val="00D17C15"/>
    <w:rsid w:val="00D2374C"/>
    <w:rsid w:val="00D26302"/>
    <w:rsid w:val="00D26C33"/>
    <w:rsid w:val="00D457FD"/>
    <w:rsid w:val="00D536F2"/>
    <w:rsid w:val="00D54DFE"/>
    <w:rsid w:val="00D631D8"/>
    <w:rsid w:val="00D65607"/>
    <w:rsid w:val="00D76DAE"/>
    <w:rsid w:val="00D8204B"/>
    <w:rsid w:val="00DB05F7"/>
    <w:rsid w:val="00DB2813"/>
    <w:rsid w:val="00DB2E9F"/>
    <w:rsid w:val="00DB6A6D"/>
    <w:rsid w:val="00DB6AF5"/>
    <w:rsid w:val="00DC5A86"/>
    <w:rsid w:val="00DD268D"/>
    <w:rsid w:val="00DF6E0D"/>
    <w:rsid w:val="00E14416"/>
    <w:rsid w:val="00E54498"/>
    <w:rsid w:val="00E57B17"/>
    <w:rsid w:val="00E674F0"/>
    <w:rsid w:val="00E91700"/>
    <w:rsid w:val="00EA6437"/>
    <w:rsid w:val="00EC1FBB"/>
    <w:rsid w:val="00ED2A9D"/>
    <w:rsid w:val="00ED3A20"/>
    <w:rsid w:val="00ED60F9"/>
    <w:rsid w:val="00EE17A8"/>
    <w:rsid w:val="00EE2E36"/>
    <w:rsid w:val="00EF6981"/>
    <w:rsid w:val="00F0209C"/>
    <w:rsid w:val="00F03FBE"/>
    <w:rsid w:val="00F06853"/>
    <w:rsid w:val="00F12D31"/>
    <w:rsid w:val="00F17D03"/>
    <w:rsid w:val="00F21BB5"/>
    <w:rsid w:val="00F25652"/>
    <w:rsid w:val="00F303EA"/>
    <w:rsid w:val="00F304F4"/>
    <w:rsid w:val="00F4066E"/>
    <w:rsid w:val="00F56EF9"/>
    <w:rsid w:val="00F73610"/>
    <w:rsid w:val="00F74E8A"/>
    <w:rsid w:val="00F853FE"/>
    <w:rsid w:val="00FA1F0D"/>
    <w:rsid w:val="00FB5A25"/>
    <w:rsid w:val="00FD23DB"/>
    <w:rsid w:val="00FE2CAF"/>
    <w:rsid w:val="00FF6A91"/>
    <w:rsid w:val="5D270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EFE2"/>
  <w15:chartTrackingRefBased/>
  <w15:docId w15:val="{89A9967E-43B2-574D-A315-80FDDE80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0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043A"/>
    <w:rPr>
      <w:color w:val="0563C1"/>
      <w:u w:val="single"/>
    </w:rPr>
  </w:style>
  <w:style w:type="paragraph" w:styleId="ListParagraph">
    <w:name w:val="List Paragraph"/>
    <w:basedOn w:val="Normal"/>
    <w:uiPriority w:val="34"/>
    <w:qFormat/>
    <w:rsid w:val="0096043A"/>
    <w:pPr>
      <w:ind w:left="720"/>
    </w:pPr>
    <w:rPr>
      <w:rFonts w:ascii="Calibri" w:eastAsia="Times New Roman" w:hAnsi="Calibri" w:cs="Calibri"/>
      <w:kern w:val="0"/>
      <w14:ligatures w14:val="none"/>
    </w:rPr>
  </w:style>
  <w:style w:type="character" w:styleId="FollowedHyperlink">
    <w:name w:val="FollowedHyperlink"/>
    <w:basedOn w:val="DefaultParagraphFont"/>
    <w:uiPriority w:val="99"/>
    <w:semiHidden/>
    <w:unhideWhenUsed/>
    <w:rsid w:val="00405A33"/>
    <w:rPr>
      <w:color w:val="954F72" w:themeColor="followedHyperlink"/>
      <w:u w:val="single"/>
    </w:rPr>
  </w:style>
  <w:style w:type="character" w:styleId="UnresolvedMention">
    <w:name w:val="Unresolved Mention"/>
    <w:basedOn w:val="DefaultParagraphFont"/>
    <w:uiPriority w:val="99"/>
    <w:semiHidden/>
    <w:unhideWhenUsed/>
    <w:rsid w:val="0043792E"/>
    <w:rPr>
      <w:color w:val="605E5C"/>
      <w:shd w:val="clear" w:color="auto" w:fill="E1DFDD"/>
    </w:rPr>
  </w:style>
  <w:style w:type="character" w:styleId="CommentReference">
    <w:name w:val="annotation reference"/>
    <w:basedOn w:val="DefaultParagraphFont"/>
    <w:uiPriority w:val="99"/>
    <w:semiHidden/>
    <w:unhideWhenUsed/>
    <w:rsid w:val="009F0879"/>
    <w:rPr>
      <w:sz w:val="16"/>
      <w:szCs w:val="16"/>
    </w:rPr>
  </w:style>
  <w:style w:type="paragraph" w:styleId="CommentText">
    <w:name w:val="annotation text"/>
    <w:basedOn w:val="Normal"/>
    <w:link w:val="CommentTextChar"/>
    <w:uiPriority w:val="99"/>
    <w:semiHidden/>
    <w:unhideWhenUsed/>
    <w:rsid w:val="009F0879"/>
    <w:rPr>
      <w:sz w:val="20"/>
      <w:szCs w:val="20"/>
    </w:rPr>
  </w:style>
  <w:style w:type="character" w:customStyle="1" w:styleId="CommentTextChar">
    <w:name w:val="Comment Text Char"/>
    <w:basedOn w:val="DefaultParagraphFont"/>
    <w:link w:val="CommentText"/>
    <w:uiPriority w:val="99"/>
    <w:semiHidden/>
    <w:rsid w:val="009F0879"/>
    <w:rPr>
      <w:sz w:val="20"/>
      <w:szCs w:val="20"/>
    </w:rPr>
  </w:style>
  <w:style w:type="paragraph" w:styleId="CommentSubject">
    <w:name w:val="annotation subject"/>
    <w:basedOn w:val="CommentText"/>
    <w:next w:val="CommentText"/>
    <w:link w:val="CommentSubjectChar"/>
    <w:uiPriority w:val="99"/>
    <w:semiHidden/>
    <w:unhideWhenUsed/>
    <w:rsid w:val="009F0879"/>
    <w:rPr>
      <w:b/>
      <w:bCs/>
    </w:rPr>
  </w:style>
  <w:style w:type="character" w:customStyle="1" w:styleId="CommentSubjectChar">
    <w:name w:val="Comment Subject Char"/>
    <w:basedOn w:val="CommentTextChar"/>
    <w:link w:val="CommentSubject"/>
    <w:uiPriority w:val="99"/>
    <w:semiHidden/>
    <w:rsid w:val="009F0879"/>
    <w:rPr>
      <w:b/>
      <w:bCs/>
      <w:sz w:val="20"/>
      <w:szCs w:val="20"/>
    </w:rPr>
  </w:style>
  <w:style w:type="paragraph" w:styleId="NormalWeb">
    <w:name w:val="Normal (Web)"/>
    <w:basedOn w:val="Normal"/>
    <w:uiPriority w:val="99"/>
    <w:semiHidden/>
    <w:unhideWhenUsed/>
    <w:rsid w:val="00C521E7"/>
    <w:pPr>
      <w:spacing w:before="100" w:beforeAutospacing="1" w:after="100" w:afterAutospacing="1"/>
    </w:pPr>
    <w:rPr>
      <w:rFonts w:ascii="Times New Roman" w:eastAsia="Times New Roman" w:hAnsi="Times New Roman" w:cs="Times New Roman"/>
      <w:kern w:val="0"/>
      <w14:ligatures w14:val="none"/>
    </w:rPr>
  </w:style>
  <w:style w:type="table" w:styleId="ListTable3-Accent1">
    <w:name w:val="List Table 3 Accent 1"/>
    <w:basedOn w:val="TableNormal"/>
    <w:uiPriority w:val="48"/>
    <w:rsid w:val="004C6166"/>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apple-converted-space">
    <w:name w:val="apple-converted-space"/>
    <w:basedOn w:val="DefaultParagraphFont"/>
    <w:rsid w:val="00AC3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143363">
      <w:bodyDiv w:val="1"/>
      <w:marLeft w:val="0"/>
      <w:marRight w:val="0"/>
      <w:marTop w:val="0"/>
      <w:marBottom w:val="0"/>
      <w:divBdr>
        <w:top w:val="none" w:sz="0" w:space="0" w:color="auto"/>
        <w:left w:val="none" w:sz="0" w:space="0" w:color="auto"/>
        <w:bottom w:val="none" w:sz="0" w:space="0" w:color="auto"/>
        <w:right w:val="none" w:sz="0" w:space="0" w:color="auto"/>
      </w:divBdr>
    </w:div>
    <w:div w:id="508104672">
      <w:bodyDiv w:val="1"/>
      <w:marLeft w:val="0"/>
      <w:marRight w:val="0"/>
      <w:marTop w:val="0"/>
      <w:marBottom w:val="0"/>
      <w:divBdr>
        <w:top w:val="none" w:sz="0" w:space="0" w:color="auto"/>
        <w:left w:val="none" w:sz="0" w:space="0" w:color="auto"/>
        <w:bottom w:val="none" w:sz="0" w:space="0" w:color="auto"/>
        <w:right w:val="none" w:sz="0" w:space="0" w:color="auto"/>
      </w:divBdr>
    </w:div>
    <w:div w:id="527527280">
      <w:bodyDiv w:val="1"/>
      <w:marLeft w:val="0"/>
      <w:marRight w:val="0"/>
      <w:marTop w:val="0"/>
      <w:marBottom w:val="0"/>
      <w:divBdr>
        <w:top w:val="none" w:sz="0" w:space="0" w:color="auto"/>
        <w:left w:val="none" w:sz="0" w:space="0" w:color="auto"/>
        <w:bottom w:val="none" w:sz="0" w:space="0" w:color="auto"/>
        <w:right w:val="none" w:sz="0" w:space="0" w:color="auto"/>
      </w:divBdr>
    </w:div>
    <w:div w:id="672953486">
      <w:bodyDiv w:val="1"/>
      <w:marLeft w:val="0"/>
      <w:marRight w:val="0"/>
      <w:marTop w:val="0"/>
      <w:marBottom w:val="0"/>
      <w:divBdr>
        <w:top w:val="none" w:sz="0" w:space="0" w:color="auto"/>
        <w:left w:val="none" w:sz="0" w:space="0" w:color="auto"/>
        <w:bottom w:val="none" w:sz="0" w:space="0" w:color="auto"/>
        <w:right w:val="none" w:sz="0" w:space="0" w:color="auto"/>
      </w:divBdr>
    </w:div>
    <w:div w:id="757216140">
      <w:bodyDiv w:val="1"/>
      <w:marLeft w:val="0"/>
      <w:marRight w:val="0"/>
      <w:marTop w:val="0"/>
      <w:marBottom w:val="0"/>
      <w:divBdr>
        <w:top w:val="none" w:sz="0" w:space="0" w:color="auto"/>
        <w:left w:val="none" w:sz="0" w:space="0" w:color="auto"/>
        <w:bottom w:val="none" w:sz="0" w:space="0" w:color="auto"/>
        <w:right w:val="none" w:sz="0" w:space="0" w:color="auto"/>
      </w:divBdr>
    </w:div>
    <w:div w:id="857617506">
      <w:bodyDiv w:val="1"/>
      <w:marLeft w:val="0"/>
      <w:marRight w:val="0"/>
      <w:marTop w:val="0"/>
      <w:marBottom w:val="0"/>
      <w:divBdr>
        <w:top w:val="none" w:sz="0" w:space="0" w:color="auto"/>
        <w:left w:val="none" w:sz="0" w:space="0" w:color="auto"/>
        <w:bottom w:val="none" w:sz="0" w:space="0" w:color="auto"/>
        <w:right w:val="none" w:sz="0" w:space="0" w:color="auto"/>
      </w:divBdr>
    </w:div>
    <w:div w:id="1058239387">
      <w:bodyDiv w:val="1"/>
      <w:marLeft w:val="0"/>
      <w:marRight w:val="0"/>
      <w:marTop w:val="0"/>
      <w:marBottom w:val="0"/>
      <w:divBdr>
        <w:top w:val="none" w:sz="0" w:space="0" w:color="auto"/>
        <w:left w:val="none" w:sz="0" w:space="0" w:color="auto"/>
        <w:bottom w:val="none" w:sz="0" w:space="0" w:color="auto"/>
        <w:right w:val="none" w:sz="0" w:space="0" w:color="auto"/>
      </w:divBdr>
    </w:div>
    <w:div w:id="1128747081">
      <w:bodyDiv w:val="1"/>
      <w:marLeft w:val="0"/>
      <w:marRight w:val="0"/>
      <w:marTop w:val="0"/>
      <w:marBottom w:val="0"/>
      <w:divBdr>
        <w:top w:val="none" w:sz="0" w:space="0" w:color="auto"/>
        <w:left w:val="none" w:sz="0" w:space="0" w:color="auto"/>
        <w:bottom w:val="none" w:sz="0" w:space="0" w:color="auto"/>
        <w:right w:val="none" w:sz="0" w:space="0" w:color="auto"/>
      </w:divBdr>
    </w:div>
    <w:div w:id="1135950326">
      <w:bodyDiv w:val="1"/>
      <w:marLeft w:val="0"/>
      <w:marRight w:val="0"/>
      <w:marTop w:val="0"/>
      <w:marBottom w:val="0"/>
      <w:divBdr>
        <w:top w:val="none" w:sz="0" w:space="0" w:color="auto"/>
        <w:left w:val="none" w:sz="0" w:space="0" w:color="auto"/>
        <w:bottom w:val="none" w:sz="0" w:space="0" w:color="auto"/>
        <w:right w:val="none" w:sz="0" w:space="0" w:color="auto"/>
      </w:divBdr>
    </w:div>
    <w:div w:id="1427848951">
      <w:bodyDiv w:val="1"/>
      <w:marLeft w:val="0"/>
      <w:marRight w:val="0"/>
      <w:marTop w:val="0"/>
      <w:marBottom w:val="0"/>
      <w:divBdr>
        <w:top w:val="none" w:sz="0" w:space="0" w:color="auto"/>
        <w:left w:val="none" w:sz="0" w:space="0" w:color="auto"/>
        <w:bottom w:val="none" w:sz="0" w:space="0" w:color="auto"/>
        <w:right w:val="none" w:sz="0" w:space="0" w:color="auto"/>
      </w:divBdr>
    </w:div>
    <w:div w:id="179158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linicaltrials.gov/study/NCT0538866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jnj.com/media-center/press-releases/update-on-u-s-regulatory-review-of-subcutaneous-amivantamab"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halozyme.com/news/news-details/2025/CHMP-Issues-Positive-Opinion-for-Subcutaneous-RYBREVANTamivantamab-Co-Formulated-with-ENHANZE-for-the-Treatment-of-Patients-with-Advanced-EGFR-Mutated-Non-Small-Cell-Lung-Cancer/default.asp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jnj.com/media-center/press-releases/chmp-recommends-subcutaneous-rybrevant-amivantamab-for-the-treatment-of-patients-with-advanced-egfr-mutated-non-small-cell-lung-cancer" TargetMode="External"/><Relationship Id="rId4" Type="http://schemas.openxmlformats.org/officeDocument/2006/relationships/numbering" Target="numbering.xml"/><Relationship Id="rId9" Type="http://schemas.openxmlformats.org/officeDocument/2006/relationships/image" Target="cid:image001.jpg@01DA7F8A.D33AEE40" TargetMode="External"/><Relationship Id="rId14" Type="http://schemas.openxmlformats.org/officeDocument/2006/relationships/hyperlink" Target="https://ascopubs.org/doi/10.1200/JCO.24.0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522417-CF64-45DC-9283-07FC22AD9D10}"/>
</file>

<file path=customXml/itemProps2.xml><?xml version="1.0" encoding="utf-8"?>
<ds:datastoreItem xmlns:ds="http://schemas.openxmlformats.org/officeDocument/2006/customXml" ds:itemID="{D3F053B3-66BA-4360-9BDB-DE8E866D2EFB}">
  <ds:schemaRefs>
    <ds:schemaRef ds:uri="http://schemas.microsoft.com/office/2006/metadata/properties"/>
    <ds:schemaRef ds:uri="1e3b51ad-8b26-4643-8436-07947209bc12"/>
    <ds:schemaRef ds:uri="http://purl.org/dc/terms/"/>
    <ds:schemaRef ds:uri="75f0410d-776c-4ead-a371-a12a491d997a"/>
    <ds:schemaRef ds:uri="http://schemas.microsoft.com/office/2006/documentManagement/types"/>
    <ds:schemaRef ds:uri="http://schemas.openxmlformats.org/package/2006/metadata/core-properties"/>
    <ds:schemaRef ds:uri="http://purl.org/dc/elements/1.1/"/>
    <ds:schemaRef ds:uri="http://purl.org/dc/dcmitype/"/>
    <ds:schemaRef ds:uri="http://schemas.microsoft.com/office/infopath/2007/PartnerControls"/>
    <ds:schemaRef ds:uri="043e1017-c5a4-4201-a35d-9d1168f65886"/>
    <ds:schemaRef ds:uri="http://www.w3.org/XML/1998/namespace"/>
  </ds:schemaRefs>
</ds:datastoreItem>
</file>

<file path=customXml/itemProps3.xml><?xml version="1.0" encoding="utf-8"?>
<ds:datastoreItem xmlns:ds="http://schemas.openxmlformats.org/officeDocument/2006/customXml" ds:itemID="{57C6C120-7DC9-45FA-A6D8-BB3741AB63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Anchor Point Insights</dc:creator>
  <cp:keywords/>
  <dc:description/>
  <cp:lastModifiedBy>Hohenberg, Kate W</cp:lastModifiedBy>
  <cp:revision>2</cp:revision>
  <dcterms:created xsi:type="dcterms:W3CDTF">2025-02-04T14:13:00Z</dcterms:created>
  <dcterms:modified xsi:type="dcterms:W3CDTF">2025-02-04T14:13:00Z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