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1DEEF19F" w:rsidTr="15156A1B" w14:paraId="5C3C562B" w14:textId="77777777">
        <w:trPr>
          <w:trHeight w:val="300"/>
        </w:trPr>
        <w:tc>
          <w:tcPr>
            <w:tcW w:w="9360" w:type="dxa"/>
            <w:tcMar>
              <w:left w:w="108" w:type="dxa"/>
              <w:right w:w="108" w:type="dxa"/>
            </w:tcMar>
          </w:tcPr>
          <w:p w:rsidR="4508FB64" w:rsidP="6B19222F" w:rsidRDefault="4508FB64" w14:paraId="6D604797" w14:textId="15853E12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7DB9C9C2" wp14:editId="132FC0E6">
                  <wp:extent cx="5669769" cy="951058"/>
                  <wp:effectExtent l="0" t="0" r="0" b="0"/>
                  <wp:docPr id="442193945" name="Picture 442193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769" cy="95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2F31" w:rsidP="1DEEF19F" w:rsidRDefault="00062F31" w14:paraId="0416E2A9" w14:textId="01EB6761">
            <w:pPr>
              <w:spacing w:after="0"/>
              <w:rPr>
                <w:rFonts w:ascii="Aptos" w:hAnsi="Aptos" w:eastAsia="Aptos" w:cs="Aptos"/>
                <w:b/>
                <w:bCs/>
                <w:sz w:val="22"/>
                <w:szCs w:val="22"/>
              </w:rPr>
            </w:pPr>
          </w:p>
          <w:p w:rsidR="1DEEF19F" w:rsidP="3ED701E9" w:rsidRDefault="28BFEDE5" w14:paraId="61F08556" w14:textId="327F9756">
            <w:pPr>
              <w:spacing w:after="0"/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Dear All,</w:t>
            </w:r>
          </w:p>
          <w:p w:rsidR="1DEEF19F" w:rsidP="3ED701E9" w:rsidRDefault="28BFEDE5" w14:paraId="33BD257B" w14:textId="43D48C61">
            <w:pPr>
              <w:spacing w:after="0"/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</w:t>
            </w:r>
          </w:p>
          <w:p w:rsidR="1DEEF19F" w:rsidP="3ED701E9" w:rsidRDefault="28BFEDE5" w14:paraId="7D56DCAC" w14:textId="0D3E6854">
            <w:pPr>
              <w:spacing w:after="0"/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This week, Daiichi posted its highly-anticipated P3 DESTINY-Ovarian01 trial of Enhertu (T-DXd; HER2 Top1i ADC) in 1L maintenance ovarian cancer on ClinicalTrials.gov. The trial will evaluate Enhertu + Bev vs. Bev and is estimated to reach primary completion in November 2028 (</w:t>
            </w:r>
            <w:hyperlink r:id="rId9">
              <w:r w:rsidRPr="3ED701E9">
                <w:rPr>
                  <w:rStyle w:val="Hyperlink"/>
                  <w:rFonts w:ascii="Aptos" w:hAnsi="Aptos" w:eastAsia="Aptos" w:cs="Aptos"/>
                  <w:b/>
                  <w:bCs/>
                  <w:sz w:val="22"/>
                  <w:szCs w:val="22"/>
                </w:rPr>
                <w:t>Link to trial</w:t>
              </w:r>
            </w:hyperlink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).</w:t>
            </w:r>
          </w:p>
          <w:p w:rsidR="1DEEF19F" w:rsidP="3ED701E9" w:rsidRDefault="28BFEDE5" w14:paraId="4DD1987E" w14:textId="7E3A7093">
            <w:pPr>
              <w:spacing w:after="0"/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</w:t>
            </w:r>
          </w:p>
          <w:p w:rsidR="1DEEF19F" w:rsidP="3ED701E9" w:rsidRDefault="28BFEDE5" w14:paraId="38F3E91F" w14:textId="15DE2217">
            <w:pPr>
              <w:spacing w:after="120"/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  <w:u w:val="single"/>
              </w:rPr>
              <w:t>Key Details:</w:t>
            </w:r>
          </w:p>
          <w:p w:rsidR="1DEEF19F" w:rsidP="3ED701E9" w:rsidRDefault="28BFEDE5" w14:paraId="704E140E" w14:textId="19739366">
            <w:pPr>
              <w:spacing w:after="0"/>
            </w:pPr>
            <w:r w:rsidRPr="3ED701E9">
              <w:rPr>
                <w:rFonts w:ascii="Aptos" w:hAnsi="Aptos" w:eastAsia="Aptos" w:cs="Aptos"/>
                <w:i/>
                <w:iCs/>
                <w:sz w:val="22"/>
                <w:szCs w:val="22"/>
              </w:rPr>
              <w:t>Population:</w:t>
            </w:r>
          </w:p>
          <w:p w:rsidR="1DEEF19F" w:rsidP="3ED701E9" w:rsidRDefault="28BFEDE5" w14:paraId="45F703C2" w14:textId="2515AF04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Target N= 582</w:t>
            </w:r>
          </w:p>
          <w:p w:rsidR="1DEEF19F" w:rsidP="3ED701E9" w:rsidRDefault="28BFEDE5" w14:paraId="382F703D" w14:textId="67A4F0EC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rFonts w:ascii="Aptos" w:hAnsi="Aptos" w:eastAsia="Aptos" w:cs="Aptos"/>
                <w:i/>
                <w:iCs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Must be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HER2-positive (IHC 3+/2+/1+) 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per gastric cancer scoring </w:t>
            </w:r>
            <w:r w:rsidRPr="3ED701E9">
              <w:rPr>
                <w:rFonts w:ascii="Aptos" w:hAnsi="Aptos" w:eastAsia="Aptos" w:cs="Aptos"/>
                <w:i/>
                <w:iCs/>
                <w:sz w:val="22"/>
                <w:szCs w:val="22"/>
              </w:rPr>
              <w:t>(note below that primary endpoint is based on IHC 3+/2+ only)</w:t>
            </w:r>
          </w:p>
          <w:p w:rsidR="1DEEF19F" w:rsidP="3ED701E9" w:rsidRDefault="28BFEDE5" w14:paraId="77408594" w14:textId="69699967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Epithelial high-grade EOC (includes serous, endometrioid, clear cell, carcinosarcoma, mucinous)</w:t>
            </w:r>
          </w:p>
          <w:p w:rsidR="1DEEF19F" w:rsidP="3ED701E9" w:rsidRDefault="28BFEDE5" w14:paraId="5D9B6AA7" w14:textId="4C9C50BE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Must have HRD / BRCA test available and be BRCAwt</w:t>
            </w:r>
          </w:p>
          <w:p w:rsidR="1DEEF19F" w:rsidP="3ED701E9" w:rsidRDefault="28BFEDE5" w14:paraId="51D4E98D" w14:textId="574428D9">
            <w:pPr>
              <w:pStyle w:val="ListParagraph"/>
              <w:numPr>
                <w:ilvl w:val="0"/>
                <w:numId w:val="7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Must be ineligible for PARPi maintenance therapy</w:t>
            </w:r>
          </w:p>
          <w:p w:rsidR="1DEEF19F" w:rsidP="3ED701E9" w:rsidRDefault="28BFEDE5" w14:paraId="1467E1A8" w14:textId="6C9E3907">
            <w:pPr>
              <w:pStyle w:val="ListParagraph"/>
              <w:numPr>
                <w:ilvl w:val="1"/>
                <w:numId w:val="7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15156A1B" w:rsidR="28BFEDE5">
              <w:rPr>
                <w:rFonts w:ascii="Aptos" w:hAnsi="Aptos" w:eastAsia="Aptos" w:cs="Aptos"/>
                <w:sz w:val="22"/>
                <w:szCs w:val="22"/>
              </w:rPr>
              <w:t>Per exclusion criteria, ineligibility for PARPi will be recorded as: HRD- (HRP), HRD+ with SD as best resonse after platinum, HRD+ non-serous histology, HRD+ tested, but inconclusive, HRD+ but safety concern</w:t>
            </w:r>
          </w:p>
          <w:p w:rsidR="1DEEF19F" w:rsidP="3ED701E9" w:rsidRDefault="28BFEDE5" w14:paraId="1E504AB7" w14:textId="639FFB8C">
            <w:pPr>
              <w:spacing w:after="0"/>
            </w:pPr>
            <w:r w:rsidRPr="3ED701E9">
              <w:rPr>
                <w:rFonts w:ascii="Aptos" w:hAnsi="Aptos" w:eastAsia="Aptos" w:cs="Aptos"/>
                <w:i/>
                <w:iCs/>
                <w:sz w:val="22"/>
                <w:szCs w:val="22"/>
              </w:rPr>
              <w:t>Timelines</w:t>
            </w:r>
          </w:p>
          <w:p w:rsidR="1DEEF19F" w:rsidP="3ED701E9" w:rsidRDefault="28BFEDE5" w14:paraId="5561FE4A" w14:textId="7A864942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Estimated start: March 2025</w:t>
            </w:r>
          </w:p>
          <w:p w:rsidR="1DEEF19F" w:rsidP="3ED701E9" w:rsidRDefault="28BFEDE5" w14:paraId="59CD4B84" w14:textId="6336D908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rPr>
                <w:rFonts w:ascii="Aptos" w:hAnsi="Aptos" w:eastAsia="Aptos" w:cs="Aptos"/>
                <w:b/>
                <w:bCs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Estimated primary completion: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November 2028</w:t>
            </w:r>
          </w:p>
          <w:p w:rsidR="1DEEF19F" w:rsidP="3ED701E9" w:rsidRDefault="28BFEDE5" w14:paraId="414A83F3" w14:textId="0E4CD8A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Estimated study completion: Jan 2032</w:t>
            </w:r>
          </w:p>
          <w:p w:rsidR="1DEEF19F" w:rsidP="3ED701E9" w:rsidRDefault="28BFEDE5" w14:paraId="37AD96CE" w14:textId="0514A3C8">
            <w:pPr>
              <w:spacing w:after="120"/>
            </w:pPr>
            <w:r w:rsidRPr="3ED701E9">
              <w:rPr>
                <w:rFonts w:ascii="Aptos" w:hAnsi="Aptos" w:eastAsia="Aptos" w:cs="Aptos"/>
                <w:i/>
                <w:iCs/>
                <w:sz w:val="22"/>
                <w:szCs w:val="22"/>
              </w:rPr>
              <w:t>Design</w:t>
            </w:r>
          </w:p>
          <w:p w:rsidR="1DEEF19F" w:rsidP="3ED701E9" w:rsidRDefault="28BFEDE5" w14:paraId="29523B93" w14:textId="0915766A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Aptos" w:hAnsi="Aptos" w:eastAsia="Aptos" w:cs="Aptos"/>
                <w:b/>
                <w:bCs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A non-randomized safety run-in phase will be conducted prior to the randomization phase to assess the safety of T-DXd in combination with bev</w:t>
            </w:r>
          </w:p>
          <w:p w:rsidR="1DEEF19F" w:rsidP="3ED701E9" w:rsidRDefault="28BFEDE5" w14:paraId="5532B51B" w14:textId="16613828">
            <w:pPr>
              <w:pStyle w:val="ListParagraph"/>
              <w:numPr>
                <w:ilvl w:val="0"/>
                <w:numId w:val="5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T-DXd will be administered at 5.4mg/kg Q3W (current approved dose</w:t>
            </w:r>
            <w:r w:rsidRPr="3ED701E9">
              <w:rPr>
                <w:rFonts w:ascii="Aptos" w:hAnsi="Aptos" w:eastAsia="Aptos" w:cs="Aptos"/>
                <w:sz w:val="22"/>
                <w:szCs w:val="22"/>
                <w:vertAlign w:val="superscript"/>
              </w:rPr>
              <w:t>1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>) and bev will be administered at 15mg/kg Q3W</w:t>
            </w:r>
          </w:p>
          <w:p w:rsidR="1DEEF19F" w:rsidP="3ED701E9" w:rsidRDefault="28BFEDE5" w14:paraId="78107770" w14:textId="6C751988">
            <w:pPr>
              <w:spacing w:after="0"/>
            </w:pPr>
            <w:r w:rsidRPr="3ED701E9">
              <w:rPr>
                <w:rFonts w:ascii="Aptos" w:hAnsi="Aptos" w:eastAsia="Aptos" w:cs="Aptos"/>
                <w:i/>
                <w:iCs/>
                <w:sz w:val="22"/>
                <w:szCs w:val="22"/>
              </w:rPr>
              <w:t>Primary Endpoint:</w:t>
            </w:r>
          </w:p>
          <w:p w:rsidR="1DEEF19F" w:rsidP="3ED701E9" w:rsidRDefault="28BFEDE5" w14:paraId="1BE1ECDF" w14:textId="2CABB23F">
            <w:pPr>
              <w:pStyle w:val="ListParagraph"/>
              <w:numPr>
                <w:ilvl w:val="0"/>
                <w:numId w:val="4"/>
              </w:numPr>
              <w:spacing w:after="0" w:line="276" w:lineRule="auto"/>
              <w:rPr>
                <w:rFonts w:ascii="Aptos" w:hAnsi="Aptos" w:eastAsia="Aptos" w:cs="Aptos"/>
                <w:b/>
                <w:bCs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PFS by BICR in the HER2 IHC 3+/2+ population</w:t>
            </w:r>
          </w:p>
          <w:p w:rsidR="1DEEF19F" w:rsidP="3ED701E9" w:rsidRDefault="28BFEDE5" w14:paraId="71C69002" w14:textId="4ABE2E46">
            <w:pPr>
              <w:spacing w:after="0"/>
            </w:pPr>
            <w:r w:rsidRPr="3ED701E9">
              <w:rPr>
                <w:rFonts w:ascii="Aptos" w:hAnsi="Aptos" w:eastAsia="Aptos" w:cs="Aptos"/>
                <w:i/>
                <w:iCs/>
                <w:sz w:val="22"/>
                <w:szCs w:val="22"/>
              </w:rPr>
              <w:t>Secondary Endpoints</w:t>
            </w:r>
            <w:r w:rsidRPr="3ED701E9">
              <w:rPr>
                <w:rFonts w:ascii="Aptos" w:hAnsi="Aptos" w:eastAsia="Aptos" w:cs="Aptos"/>
                <w:b/>
                <w:bCs/>
                <w:i/>
                <w:iCs/>
                <w:sz w:val="22"/>
                <w:szCs w:val="22"/>
              </w:rPr>
              <w:t>:</w:t>
            </w:r>
          </w:p>
          <w:p w:rsidR="1DEEF19F" w:rsidP="3ED701E9" w:rsidRDefault="28BFEDE5" w14:paraId="1BE1A399" w14:textId="7098DE5F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PFS by BICR in the HER2 3+/2+/1+ population</w:t>
            </w:r>
          </w:p>
          <w:p w:rsidR="1DEEF19F" w:rsidP="3ED701E9" w:rsidRDefault="28BFEDE5" w14:paraId="6D3BD033" w14:textId="37A1C153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hAnsi="Aptos" w:eastAsia="Aptos" w:cs="Aptos"/>
                <w:b/>
                <w:bCs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OS in the HER2 3+/2+ population and OS in the HER2 3+/2+/1+ population</w:t>
            </w:r>
          </w:p>
          <w:p w:rsidR="1DEEF19F" w:rsidP="3ED701E9" w:rsidRDefault="28BFEDE5" w14:paraId="237F472C" w14:textId="472F657E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PFS by investigator in the HER2 IHC3+/2+ population and PFS by investigator in the HER2 IHC3+/2+/1+ population</w:t>
            </w:r>
          </w:p>
          <w:p w:rsidR="1DEEF19F" w:rsidP="3ED701E9" w:rsidRDefault="28BFEDE5" w14:paraId="65608BCD" w14:textId="2C7F8156">
            <w:pPr>
              <w:spacing w:after="0"/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Sites</w:t>
            </w:r>
          </w:p>
          <w:p w:rsidR="1DEEF19F" w:rsidP="3ED701E9" w:rsidRDefault="28BFEDE5" w14:paraId="73A52611" w14:textId="57E7D304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No site location data is available yet</w:t>
            </w:r>
          </w:p>
          <w:p w:rsidR="1DEEF19F" w:rsidP="3ED701E9" w:rsidRDefault="28BFEDE5" w14:paraId="15F7A1E5" w14:textId="7BCDED15">
            <w:pPr>
              <w:spacing w:after="0"/>
            </w:pPr>
            <w:r w:rsidRPr="3ED701E9">
              <w:rPr>
                <w:rFonts w:ascii="Aptos" w:hAnsi="Aptos" w:eastAsia="Aptos" w:cs="Aptos"/>
              </w:rPr>
              <w:t xml:space="preserve"> </w:t>
            </w:r>
          </w:p>
          <w:p w:rsidR="1DEEF19F" w:rsidP="3ED701E9" w:rsidRDefault="28BFEDE5" w14:paraId="1DAD52E3" w14:textId="43B82920">
            <w:pPr>
              <w:spacing w:after="0"/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  <w:u w:val="single"/>
              </w:rPr>
              <w:t>CI Commentary &amp; Potential Implications:</w:t>
            </w:r>
          </w:p>
          <w:p w:rsidR="1DEEF19F" w:rsidP="3ED701E9" w:rsidRDefault="28BFEDE5" w14:paraId="1CA49C03" w14:textId="73A1E6CE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Aptos" w:hAnsi="Aptos" w:eastAsia="Aptos" w:cs="Aptos"/>
                <w:b/>
                <w:bCs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If timelines hold and the trial is successful, Enhertu could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potentially launch in 1L maintenance ovarian cancer in 2H 2029</w:t>
            </w:r>
          </w:p>
          <w:p w:rsidR="1DEEF19F" w:rsidP="3ED701E9" w:rsidRDefault="28BFEDE5" w14:paraId="6166510C" w14:textId="7D032C75">
            <w:pPr>
              <w:pStyle w:val="ListParagraph"/>
              <w:numPr>
                <w:ilvl w:val="1"/>
                <w:numId w:val="1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We believe Daiichi’s timelines are aggressive, considering the safety lead-in + bev will need to happen before the randomized portion of the trial can begin; however, the study will notably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not include a randomized dose optimization efficacy comparison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>, offering time savings</w:t>
            </w:r>
          </w:p>
          <w:p w:rsidR="1DEEF19F" w:rsidP="3ED701E9" w:rsidRDefault="28BFEDE5" w14:paraId="0735022A" w14:textId="20A3CC8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The study’s primary endpoint is PFS, with OS as a secondary endpoint. While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OS benefit has been notoriously challenging to show in frontline studies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(demonstrated most recently by the niraparib </w:t>
            </w:r>
            <w:hyperlink r:id="rId10">
              <w:r w:rsidRPr="3ED701E9">
                <w:rPr>
                  <w:rStyle w:val="Hyperlink"/>
                  <w:rFonts w:ascii="Aptos" w:hAnsi="Aptos" w:eastAsia="Aptos" w:cs="Aptos"/>
                  <w:sz w:val="22"/>
                  <w:szCs w:val="22"/>
                </w:rPr>
                <w:t>PRIMA</w:t>
              </w:r>
            </w:hyperlink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readout at ESMO 2024), FDA/EMA feedback suggests increasing preference for this as a primary endpoint and failure to comply may be at risk</w:t>
            </w:r>
          </w:p>
          <w:p w:rsidR="1DEEF19F" w:rsidP="3ED701E9" w:rsidRDefault="28BFEDE5" w14:paraId="4C0506F1" w14:textId="603368E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Despite the study enrolling HER2 IHC 3+/2+/1+ pts, the primary endpoint is in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HER2 IHC 3+/2+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only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which could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limit the initial label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to a subset of the enrolled population</w:t>
            </w:r>
          </w:p>
          <w:p w:rsidR="1DEEF19F" w:rsidP="3ED701E9" w:rsidRDefault="28BFEDE5" w14:paraId="0F1148AE" w14:textId="1F48ACD4">
            <w:pPr>
              <w:pStyle w:val="ListParagraph"/>
              <w:numPr>
                <w:ilvl w:val="1"/>
                <w:numId w:val="1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For awareness, Part 1 of the P2 </w:t>
            </w:r>
            <w:hyperlink r:id="rId11">
              <w:r w:rsidRPr="3ED701E9">
                <w:rPr>
                  <w:rStyle w:val="Hyperlink"/>
                  <w:rFonts w:ascii="Aptos" w:hAnsi="Aptos" w:eastAsia="Aptos" w:cs="Aptos"/>
                  <w:sz w:val="22"/>
                  <w:szCs w:val="22"/>
                </w:rPr>
                <w:t>DESTINYPanTumor02</w:t>
              </w:r>
            </w:hyperlink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basket trial of Enhertu monotherapy led to accelerated </w:t>
            </w:r>
            <w:hyperlink r:id="rId12">
              <w:r w:rsidRPr="3ED701E9">
                <w:rPr>
                  <w:rStyle w:val="Hyperlink"/>
                  <w:rFonts w:ascii="Aptos" w:hAnsi="Aptos" w:eastAsia="Aptos" w:cs="Aptos"/>
                  <w:sz w:val="22"/>
                  <w:szCs w:val="22"/>
                </w:rPr>
                <w:t>approval</w:t>
              </w:r>
            </w:hyperlink>
            <w:r w:rsidRPr="3ED701E9">
              <w:rPr>
                <w:rFonts w:ascii="Aptos" w:hAnsi="Aptos" w:eastAsia="Aptos" w:cs="Aptos"/>
              </w:rPr>
              <w:t xml:space="preserve"> 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>in IHC3+ recurrent solid tumors and IHC3+/2+ NCCN PROC guideline inclusion in 2024; the trial has since expanded into Part 2 focused on IHC2+ and IHC1+ patients, with data expected by 2027</w:t>
            </w:r>
          </w:p>
          <w:p w:rsidR="1DEEF19F" w:rsidP="3ED701E9" w:rsidRDefault="28BFEDE5" w14:paraId="4E53C573" w14:textId="1F65CD4F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Aptos" w:hAnsi="Aptos" w:eastAsia="Aptos" w:cs="Aptos"/>
                <w:i/>
                <w:iCs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Based on preliminary data,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HER2 IHC3+/2+ expression in ovarian cancer is estimated to be ~8-18%</w:t>
            </w:r>
            <w:r w:rsidRPr="3ED701E9">
              <w:rPr>
                <w:rFonts w:ascii="Aptos" w:hAnsi="Aptos" w:eastAsia="Aptos" w:cs="Aptos"/>
                <w:sz w:val="22"/>
                <w:szCs w:val="22"/>
                <w:vertAlign w:val="superscript"/>
              </w:rPr>
              <w:t>2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with an estimated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>FR</w:t>
            </w:r>
            <w:r w:rsidRPr="3ED701E9">
              <w:rPr>
                <w:rFonts w:ascii="Symbol" w:hAnsi="Symbol" w:eastAsia="Symbol" w:cs="Symbol"/>
                <w:b/>
                <w:bCs/>
                <w:sz w:val="22"/>
                <w:szCs w:val="22"/>
              </w:rPr>
              <w:t>a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overlap of ~13%</w:t>
            </w:r>
            <w:r w:rsidRPr="3ED701E9">
              <w:rPr>
                <w:rFonts w:ascii="Aptos" w:hAnsi="Aptos" w:eastAsia="Aptos" w:cs="Aptos"/>
                <w:sz w:val="22"/>
                <w:szCs w:val="22"/>
                <w:vertAlign w:val="superscript"/>
              </w:rPr>
              <w:t>3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</w:t>
            </w:r>
            <w:r w:rsidRPr="3ED701E9">
              <w:rPr>
                <w:rFonts w:ascii="Aptos" w:hAnsi="Aptos" w:eastAsia="Aptos" w:cs="Aptos"/>
                <w:i/>
                <w:iCs/>
                <w:sz w:val="22"/>
                <w:szCs w:val="22"/>
              </w:rPr>
              <w:t>– sources and supporting slides can be found below</w:t>
            </w:r>
          </w:p>
          <w:p w:rsidR="1DEEF19F" w:rsidP="3ED701E9" w:rsidRDefault="28BFEDE5" w14:paraId="29CA3C59" w14:textId="097433E5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We expect to get a preview into the Enhertu + bev combination safety profile by the end of 2025 with the </w:t>
            </w: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readout of a second </w:t>
            </w:r>
            <w:hyperlink r:id="rId13">
              <w:r w:rsidRPr="3ED701E9">
                <w:rPr>
                  <w:rStyle w:val="Hyperlink"/>
                  <w:rFonts w:ascii="Aptos" w:hAnsi="Aptos" w:eastAsia="Aptos" w:cs="Aptos"/>
                  <w:b/>
                  <w:bCs/>
                  <w:sz w:val="22"/>
                  <w:szCs w:val="22"/>
                </w:rPr>
                <w:t>P2</w:t>
              </w:r>
            </w:hyperlink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</w:rPr>
              <w:t xml:space="preserve"> China-only basket trial</w:t>
            </w: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in gynecologic cancers</w:t>
            </w:r>
          </w:p>
          <w:p w:rsidR="1DEEF19F" w:rsidP="3ED701E9" w:rsidRDefault="28BFEDE5" w14:paraId="11EB831A" w14:textId="708CB889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rPr>
                <w:rFonts w:ascii="Aptos" w:hAnsi="Aptos" w:eastAsia="Aptos" w:cs="Aptos"/>
                <w:sz w:val="22"/>
                <w:szCs w:val="22"/>
              </w:rPr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Of note, AZ and Daiichi did not include this trial in their recent Q4 2024 earnings calls, which took place last week</w:t>
            </w:r>
          </w:p>
          <w:p w:rsidR="1DEEF19F" w:rsidP="3ED701E9" w:rsidRDefault="28BFEDE5" w14:paraId="34BC7B81" w14:textId="1C2216CC">
            <w:pPr>
              <w:spacing w:after="0" w:line="276" w:lineRule="auto"/>
              <w:ind w:left="720"/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  <w:p w:rsidR="1DEEF19F" w:rsidP="3ED701E9" w:rsidRDefault="28BFEDE5" w14:paraId="7F095552" w14:textId="14735C55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>Best,</w:t>
            </w:r>
          </w:p>
          <w:p w:rsidR="1DEEF19F" w:rsidP="3ED701E9" w:rsidRDefault="28BFEDE5" w14:paraId="0B216E9E" w14:textId="3FB988D6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b/>
                <w:bCs/>
                <w:sz w:val="22"/>
                <w:szCs w:val="22"/>
                <w:lang w:val="en-IN"/>
              </w:rPr>
              <w:t>For questions, please reach out to:</w:t>
            </w:r>
            <w:r w:rsidRPr="3ED701E9">
              <w:rPr>
                <w:rFonts w:ascii="Arial" w:hAnsi="Arial" w:eastAsia="Arial" w:cs="Arial"/>
                <w:sz w:val="22"/>
                <w:szCs w:val="22"/>
                <w:lang w:val="en-IN"/>
              </w:rPr>
              <w:t xml:space="preserve"> </w:t>
            </w:r>
            <w:r w:rsidRPr="3ED701E9">
              <w:rPr>
                <w:rFonts w:ascii="Aptos" w:hAnsi="Aptos" w:eastAsia="Aptos" w:cs="Aptos"/>
                <w:sz w:val="22"/>
                <w:szCs w:val="22"/>
                <w:lang w:val="en-IN"/>
              </w:rPr>
              <w:t xml:space="preserve"> </w:t>
            </w:r>
          </w:p>
          <w:p w:rsidR="1DEEF19F" w:rsidP="3ED701E9" w:rsidRDefault="28BFEDE5" w14:paraId="3C9B6EA7" w14:textId="62641492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sz w:val="22"/>
                <w:szCs w:val="22"/>
                <w:lang w:val="en-IN"/>
              </w:rPr>
              <w:t xml:space="preserve">International / OUS Affiliates: </w:t>
            </w:r>
            <w:hyperlink r:id="rId14">
              <w:r w:rsidRPr="3ED701E9">
                <w:rPr>
                  <w:rStyle w:val="Hyperlink"/>
                  <w:rFonts w:ascii="Aptos" w:hAnsi="Aptos" w:eastAsia="Aptos" w:cs="Aptos"/>
                  <w:sz w:val="22"/>
                  <w:szCs w:val="22"/>
                  <w:lang w:val="en-IN"/>
                </w:rPr>
                <w:t>Maureen Nail</w:t>
              </w:r>
            </w:hyperlink>
            <w:r w:rsidRPr="3ED701E9">
              <w:rPr>
                <w:rFonts w:ascii="Arial" w:hAnsi="Arial" w:eastAsia="Arial" w:cs="Arial"/>
                <w:sz w:val="22"/>
                <w:szCs w:val="22"/>
                <w:lang w:val="en-IN"/>
              </w:rPr>
              <w:t xml:space="preserve"> </w:t>
            </w:r>
            <w:r w:rsidRPr="3ED701E9">
              <w:rPr>
                <w:rFonts w:ascii="Aptos" w:hAnsi="Aptos" w:eastAsia="Aptos" w:cs="Aptos"/>
                <w:sz w:val="22"/>
                <w:szCs w:val="22"/>
                <w:lang w:val="en-IN"/>
              </w:rPr>
              <w:t xml:space="preserve"> </w:t>
            </w:r>
          </w:p>
          <w:p w:rsidR="1DEEF19F" w:rsidP="3ED701E9" w:rsidRDefault="28BFEDE5" w14:paraId="6A3D44BC" w14:textId="526F16A0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sz w:val="22"/>
                <w:szCs w:val="22"/>
                <w:lang w:val="en-IN"/>
              </w:rPr>
              <w:t xml:space="preserve">US: </w:t>
            </w:r>
            <w:hyperlink r:id="rId15">
              <w:r w:rsidRPr="3ED701E9">
                <w:rPr>
                  <w:rStyle w:val="Hyperlink"/>
                  <w:rFonts w:ascii="Aptos" w:hAnsi="Aptos" w:eastAsia="Aptos" w:cs="Aptos"/>
                  <w:sz w:val="22"/>
                  <w:szCs w:val="22"/>
                </w:rPr>
                <w:t>Chen Gao</w:t>
              </w:r>
              <w:r w:rsidRPr="3ED701E9">
                <w:rPr>
                  <w:rStyle w:val="Hyperlink"/>
                  <w:rFonts w:ascii="Arial" w:hAnsi="Arial" w:eastAsia="Arial" w:cs="Arial"/>
                  <w:sz w:val="22"/>
                  <w:szCs w:val="22"/>
                  <w:lang w:val="en-IN"/>
                </w:rPr>
                <w:t xml:space="preserve"> </w:t>
              </w:r>
              <w:r w:rsidRPr="3ED701E9">
                <w:rPr>
                  <w:rStyle w:val="Hyperlink"/>
                  <w:rFonts w:ascii="Aptos" w:hAnsi="Aptos" w:eastAsia="Aptos" w:cs="Aptos"/>
                  <w:sz w:val="22"/>
                  <w:szCs w:val="22"/>
                  <w:lang w:val="en-IN"/>
                </w:rPr>
                <w:t xml:space="preserve"> </w:t>
              </w:r>
            </w:hyperlink>
          </w:p>
          <w:p w:rsidR="1DEEF19F" w:rsidP="3ED701E9" w:rsidRDefault="28BFEDE5" w14:paraId="472B4C76" w14:textId="0FA7B98A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sz w:val="22"/>
                <w:szCs w:val="22"/>
                <w:lang w:val="en-IN"/>
              </w:rPr>
              <w:t xml:space="preserve">Corporate Strategy, R&amp;D and PCS: </w:t>
            </w:r>
            <w:hyperlink r:id="rId16">
              <w:r w:rsidRPr="3ED701E9">
                <w:rPr>
                  <w:rStyle w:val="Hyperlink"/>
                  <w:rFonts w:ascii="Aptos" w:hAnsi="Aptos" w:eastAsia="Aptos" w:cs="Aptos"/>
                  <w:sz w:val="22"/>
                  <w:szCs w:val="22"/>
                  <w:lang w:val="en-IN"/>
                </w:rPr>
                <w:t>Colleen Plesac</w:t>
              </w:r>
              <w:r w:rsidRPr="3ED701E9">
                <w:rPr>
                  <w:rStyle w:val="Hyperlink"/>
                  <w:rFonts w:ascii="Arial" w:hAnsi="Arial" w:eastAsia="Arial" w:cs="Arial"/>
                  <w:sz w:val="22"/>
                  <w:szCs w:val="22"/>
                  <w:lang w:val="en-IN"/>
                </w:rPr>
                <w:t xml:space="preserve"> </w:t>
              </w:r>
            </w:hyperlink>
          </w:p>
          <w:p w:rsidR="1DEEF19F" w:rsidP="3ED701E9" w:rsidRDefault="28BFEDE5" w14:paraId="00BEA6BE" w14:textId="388EBDDE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  <w:p w:rsidR="1DEEF19F" w:rsidP="3ED701E9" w:rsidRDefault="28BFEDE5" w14:paraId="546900F9" w14:textId="00F2E57D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i/>
                <w:iCs/>
                <w:sz w:val="20"/>
                <w:szCs w:val="20"/>
                <w:vertAlign w:val="superscript"/>
              </w:rPr>
              <w:t xml:space="preserve">1 </w:t>
            </w:r>
            <w:r w:rsidRPr="3ED701E9">
              <w:rPr>
                <w:rFonts w:ascii="Aptos" w:hAnsi="Aptos" w:eastAsia="Aptos" w:cs="Aptos"/>
                <w:i/>
                <w:iCs/>
                <w:sz w:val="20"/>
                <w:szCs w:val="20"/>
              </w:rPr>
              <w:t>5.4mg/kg is Enhertu’s approved dose for all approved indications except gastric cancer which is 6.4mg/kg</w:t>
            </w:r>
          </w:p>
          <w:p w:rsidR="1DEEF19F" w:rsidP="3ED701E9" w:rsidRDefault="28BFEDE5" w14:paraId="2B2D8FF4" w14:textId="0CF18FB7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i/>
                <w:iCs/>
                <w:sz w:val="20"/>
                <w:szCs w:val="20"/>
                <w:vertAlign w:val="superscript"/>
              </w:rPr>
              <w:t xml:space="preserve">2 </w:t>
            </w:r>
            <w:r w:rsidRPr="3ED701E9">
              <w:rPr>
                <w:rFonts w:ascii="Aptos" w:hAnsi="Aptos" w:eastAsia="Aptos" w:cs="Aptos"/>
                <w:i/>
                <w:iCs/>
                <w:sz w:val="20"/>
                <w:szCs w:val="20"/>
              </w:rPr>
              <w:t>Makker et al, DestinyPanTumor-02 subgroup results, SGO 2024 (Figure 1 below)</w:t>
            </w:r>
          </w:p>
          <w:p w:rsidR="1DEEF19F" w:rsidP="3ED701E9" w:rsidRDefault="28BFEDE5" w14:paraId="482C3B83" w14:textId="59CA6FFC">
            <w:pPr>
              <w:spacing w:after="0" w:line="276" w:lineRule="auto"/>
            </w:pPr>
            <w:r w:rsidRPr="3ED701E9">
              <w:rPr>
                <w:rFonts w:ascii="Aptos" w:hAnsi="Aptos" w:eastAsia="Aptos" w:cs="Aptos"/>
                <w:i/>
                <w:iCs/>
                <w:sz w:val="20"/>
                <w:szCs w:val="20"/>
                <w:vertAlign w:val="superscript"/>
              </w:rPr>
              <w:t xml:space="preserve">3 </w:t>
            </w:r>
            <w:r w:rsidRPr="3ED701E9">
              <w:rPr>
                <w:rFonts w:ascii="Aptos" w:hAnsi="Aptos" w:eastAsia="Aptos" w:cs="Aptos"/>
                <w:i/>
                <w:iCs/>
                <w:sz w:val="20"/>
                <w:szCs w:val="20"/>
              </w:rPr>
              <w:t>Preliminary internal analysis of Elahere FORWARD I data (Figure 2 below)</w:t>
            </w:r>
          </w:p>
          <w:p w:rsidR="1DEEF19F" w:rsidP="73339B8C" w:rsidRDefault="28BFEDE5" w14:paraId="5CA3C4FD" w14:textId="143E0055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009F687" wp14:editId="5D7A5AF9">
                  <wp:extent cx="5571430" cy="3266666"/>
                  <wp:effectExtent l="0" t="0" r="0" b="0"/>
                  <wp:docPr id="572108472" name="Picture 572108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430" cy="3266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DEEF19F" w:rsidP="73339B8C" w:rsidRDefault="28BFEDE5" w14:paraId="2A55ABBC" w14:textId="1415AB8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6DBD0BEF" wp14:editId="6B44B9F5">
                  <wp:extent cx="5571430" cy="3142857"/>
                  <wp:effectExtent l="0" t="0" r="0" b="0"/>
                  <wp:docPr id="902771199" name="Picture 902771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1430" cy="31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1DEEF19F" w:rsidP="73339B8C" w:rsidRDefault="1DEEF19F" w14:paraId="17A02AB6" w14:textId="30307A9C">
            <w:pPr>
              <w:spacing w:after="0"/>
            </w:pPr>
          </w:p>
          <w:p w:rsidR="1DEEF19F" w:rsidP="73339B8C" w:rsidRDefault="1DEEF19F" w14:paraId="066FAE02" w14:textId="699F5F1C">
            <w:pPr>
              <w:spacing w:after="0"/>
            </w:pPr>
          </w:p>
        </w:tc>
      </w:tr>
      <w:tr w:rsidR="1DEEF19F" w:rsidTr="15156A1B" w14:paraId="42CFDB38" w14:textId="77777777">
        <w:trPr>
          <w:trHeight w:val="300"/>
        </w:trPr>
        <w:tc>
          <w:tcPr>
            <w:tcW w:w="9360" w:type="dxa"/>
            <w:tcMar>
              <w:left w:w="108" w:type="dxa"/>
              <w:right w:w="108" w:type="dxa"/>
            </w:tcMar>
          </w:tcPr>
          <w:p w:rsidR="1DEEF19F" w:rsidP="1DEEF19F" w:rsidRDefault="1DEEF19F" w14:paraId="7C2EB550" w14:textId="07D9BDBF">
            <w:pPr>
              <w:spacing w:after="0"/>
              <w:rPr>
                <w:rFonts w:ascii="Aptos" w:hAnsi="Aptos" w:eastAsia="Aptos" w:cs="Aptos"/>
                <w:b/>
                <w:bCs/>
                <w:sz w:val="22"/>
                <w:szCs w:val="22"/>
              </w:rPr>
            </w:pPr>
          </w:p>
        </w:tc>
      </w:tr>
    </w:tbl>
    <w:p w:rsidR="00FD6292" w:rsidRDefault="00FD6292" w14:paraId="2C078E63" w14:textId="3E899B95"/>
    <w:sectPr w:rsidR="00FD629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1849"/>
    <w:multiLevelType w:val="hybridMultilevel"/>
    <w:tmpl w:val="FFFFFFFF"/>
    <w:lvl w:ilvl="0" w:tplc="FA16D3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943F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D262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2270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5E7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F259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365A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66F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34DB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D2B1E6"/>
    <w:multiLevelType w:val="hybridMultilevel"/>
    <w:tmpl w:val="F596FCCE"/>
    <w:lvl w:ilvl="0" w:tplc="358EF7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94435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8E41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182D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A264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DA0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F847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6ED8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603B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465094"/>
    <w:multiLevelType w:val="hybridMultilevel"/>
    <w:tmpl w:val="FFFFFFFF"/>
    <w:lvl w:ilvl="0" w:tplc="E5F22C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0E26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EC1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C839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DCAF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8E64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B49D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5A2C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946D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4D7D6FF"/>
    <w:multiLevelType w:val="hybridMultilevel"/>
    <w:tmpl w:val="FFFFFFFF"/>
    <w:lvl w:ilvl="0" w:tplc="AD52CD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36CA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9C2B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1F879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A053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EC6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046F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889D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4A16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572FEA"/>
    <w:multiLevelType w:val="hybridMultilevel"/>
    <w:tmpl w:val="7A78ACD0"/>
    <w:lvl w:ilvl="0" w:tplc="540239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9C6B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8E7B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D80C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E891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ACAC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1864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FC79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86065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0E5869"/>
    <w:multiLevelType w:val="hybridMultilevel"/>
    <w:tmpl w:val="FFFFFFFF"/>
    <w:lvl w:ilvl="0" w:tplc="322E83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4C4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8E72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7A30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BEA2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A45A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6254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E3A7C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D88D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B7B3E53"/>
    <w:multiLevelType w:val="hybridMultilevel"/>
    <w:tmpl w:val="B8985938"/>
    <w:lvl w:ilvl="0" w:tplc="13BC58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EA06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208A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29462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8E3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22FF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5A68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ACB9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F02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5E38C5"/>
    <w:multiLevelType w:val="hybridMultilevel"/>
    <w:tmpl w:val="27AECBE2"/>
    <w:lvl w:ilvl="0" w:tplc="165AED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B061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40B7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ABA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CC45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5CD2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A0A5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BA2E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1E2D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95C21F"/>
    <w:multiLevelType w:val="hybridMultilevel"/>
    <w:tmpl w:val="FFFFFFFF"/>
    <w:lvl w:ilvl="0" w:tplc="38C655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F092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FA1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240D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EC61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A0EA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20FC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0C3A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7085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B2D110"/>
    <w:multiLevelType w:val="hybridMultilevel"/>
    <w:tmpl w:val="50A65DAE"/>
    <w:lvl w:ilvl="0" w:tplc="304A0B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E61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7CA4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1C30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1CDA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68AF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8277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9663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A61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8D41429"/>
    <w:multiLevelType w:val="hybridMultilevel"/>
    <w:tmpl w:val="20746A96"/>
    <w:lvl w:ilvl="0" w:tplc="77208A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D40EA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8AEB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5C47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CC6D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2219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5829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A609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BEBE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C5B2CBE"/>
    <w:multiLevelType w:val="hybridMultilevel"/>
    <w:tmpl w:val="FFFFFFFF"/>
    <w:lvl w:ilvl="0" w:tplc="5D5C2F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4C95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70A0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5288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CCE7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B43E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B6AC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54D2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A250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2906CFB"/>
    <w:multiLevelType w:val="hybridMultilevel"/>
    <w:tmpl w:val="FFFFFFFF"/>
    <w:lvl w:ilvl="0" w:tplc="0CB03D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70F6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16C3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989E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B633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AE57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92D2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D8AC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7E86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E1ABED8"/>
    <w:multiLevelType w:val="hybridMultilevel"/>
    <w:tmpl w:val="93D0299C"/>
    <w:lvl w:ilvl="0" w:tplc="93A82FC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9CDF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E669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D23B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1C4F4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0C82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DC67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60E4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9DC10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78532569">
    <w:abstractNumId w:val="0"/>
  </w:num>
  <w:num w:numId="2" w16cid:durableId="1274479796">
    <w:abstractNumId w:val="5"/>
  </w:num>
  <w:num w:numId="3" w16cid:durableId="713848407">
    <w:abstractNumId w:val="3"/>
  </w:num>
  <w:num w:numId="4" w16cid:durableId="82844692">
    <w:abstractNumId w:val="11"/>
  </w:num>
  <w:num w:numId="5" w16cid:durableId="1062288225">
    <w:abstractNumId w:val="8"/>
  </w:num>
  <w:num w:numId="6" w16cid:durableId="333846635">
    <w:abstractNumId w:val="12"/>
  </w:num>
  <w:num w:numId="7" w16cid:durableId="87967911">
    <w:abstractNumId w:val="2"/>
  </w:num>
  <w:num w:numId="8" w16cid:durableId="1463964932">
    <w:abstractNumId w:val="1"/>
  </w:num>
  <w:num w:numId="9" w16cid:durableId="1935431008">
    <w:abstractNumId w:val="10"/>
  </w:num>
  <w:num w:numId="10" w16cid:durableId="1442186449">
    <w:abstractNumId w:val="7"/>
  </w:num>
  <w:num w:numId="11" w16cid:durableId="635381241">
    <w:abstractNumId w:val="13"/>
  </w:num>
  <w:num w:numId="12" w16cid:durableId="75983621">
    <w:abstractNumId w:val="6"/>
  </w:num>
  <w:num w:numId="13" w16cid:durableId="1560633314">
    <w:abstractNumId w:val="4"/>
  </w:num>
  <w:num w:numId="14" w16cid:durableId="7533574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1BFA5A"/>
    <w:rsid w:val="00062F31"/>
    <w:rsid w:val="000910C1"/>
    <w:rsid w:val="00100BEE"/>
    <w:rsid w:val="0011712B"/>
    <w:rsid w:val="00162814"/>
    <w:rsid w:val="001650C0"/>
    <w:rsid w:val="0018202D"/>
    <w:rsid w:val="001848D4"/>
    <w:rsid w:val="00184AEC"/>
    <w:rsid w:val="00192E64"/>
    <w:rsid w:val="001A209C"/>
    <w:rsid w:val="001C6984"/>
    <w:rsid w:val="001C6C1A"/>
    <w:rsid w:val="001F18DC"/>
    <w:rsid w:val="00210D4F"/>
    <w:rsid w:val="00216185"/>
    <w:rsid w:val="00262EFE"/>
    <w:rsid w:val="002673D7"/>
    <w:rsid w:val="002A7633"/>
    <w:rsid w:val="002F36D9"/>
    <w:rsid w:val="002F6CA2"/>
    <w:rsid w:val="00314EC8"/>
    <w:rsid w:val="00333387"/>
    <w:rsid w:val="00350E40"/>
    <w:rsid w:val="00362AE7"/>
    <w:rsid w:val="003639C1"/>
    <w:rsid w:val="00370995"/>
    <w:rsid w:val="003C47C3"/>
    <w:rsid w:val="003F088F"/>
    <w:rsid w:val="003F15AE"/>
    <w:rsid w:val="004001B1"/>
    <w:rsid w:val="00401573"/>
    <w:rsid w:val="00416E85"/>
    <w:rsid w:val="00433D07"/>
    <w:rsid w:val="00465C7B"/>
    <w:rsid w:val="00475550"/>
    <w:rsid w:val="0047789D"/>
    <w:rsid w:val="00484A41"/>
    <w:rsid w:val="004B34A2"/>
    <w:rsid w:val="004B4E21"/>
    <w:rsid w:val="004B78D3"/>
    <w:rsid w:val="004F3ED0"/>
    <w:rsid w:val="004F753F"/>
    <w:rsid w:val="00503228"/>
    <w:rsid w:val="00541FC0"/>
    <w:rsid w:val="005549A4"/>
    <w:rsid w:val="00570FDE"/>
    <w:rsid w:val="00577BF3"/>
    <w:rsid w:val="0059081A"/>
    <w:rsid w:val="00593AF3"/>
    <w:rsid w:val="005D4818"/>
    <w:rsid w:val="005F63E6"/>
    <w:rsid w:val="0061120F"/>
    <w:rsid w:val="0061200E"/>
    <w:rsid w:val="00646954"/>
    <w:rsid w:val="00664499"/>
    <w:rsid w:val="00667639"/>
    <w:rsid w:val="00680ABD"/>
    <w:rsid w:val="00694C8E"/>
    <w:rsid w:val="006C1B4A"/>
    <w:rsid w:val="006C7204"/>
    <w:rsid w:val="006D01F2"/>
    <w:rsid w:val="0071483E"/>
    <w:rsid w:val="00721B22"/>
    <w:rsid w:val="00727654"/>
    <w:rsid w:val="007324D6"/>
    <w:rsid w:val="00783DCA"/>
    <w:rsid w:val="00784EC1"/>
    <w:rsid w:val="007B5B23"/>
    <w:rsid w:val="007B626A"/>
    <w:rsid w:val="007D49A4"/>
    <w:rsid w:val="00803475"/>
    <w:rsid w:val="008510EC"/>
    <w:rsid w:val="008A6592"/>
    <w:rsid w:val="008C09BD"/>
    <w:rsid w:val="00913E0F"/>
    <w:rsid w:val="00953AF4"/>
    <w:rsid w:val="00957895"/>
    <w:rsid w:val="009615F2"/>
    <w:rsid w:val="0098110E"/>
    <w:rsid w:val="00983FE8"/>
    <w:rsid w:val="00991478"/>
    <w:rsid w:val="009D7CF0"/>
    <w:rsid w:val="009E5820"/>
    <w:rsid w:val="009E6EAC"/>
    <w:rsid w:val="00A05DC6"/>
    <w:rsid w:val="00A251AD"/>
    <w:rsid w:val="00A274F7"/>
    <w:rsid w:val="00A91EE5"/>
    <w:rsid w:val="00AF2BF9"/>
    <w:rsid w:val="00B306F2"/>
    <w:rsid w:val="00B7174A"/>
    <w:rsid w:val="00B72D59"/>
    <w:rsid w:val="00B74BB1"/>
    <w:rsid w:val="00B82F25"/>
    <w:rsid w:val="00BC0EF0"/>
    <w:rsid w:val="00BE13B6"/>
    <w:rsid w:val="00BE7C48"/>
    <w:rsid w:val="00BF1239"/>
    <w:rsid w:val="00BF732D"/>
    <w:rsid w:val="00C00A8D"/>
    <w:rsid w:val="00C24622"/>
    <w:rsid w:val="00C34229"/>
    <w:rsid w:val="00C43EE8"/>
    <w:rsid w:val="00C60500"/>
    <w:rsid w:val="00C62884"/>
    <w:rsid w:val="00C93157"/>
    <w:rsid w:val="00C93B18"/>
    <w:rsid w:val="00C9589E"/>
    <w:rsid w:val="00C95BEF"/>
    <w:rsid w:val="00CA6AE9"/>
    <w:rsid w:val="00CC7F1C"/>
    <w:rsid w:val="00CE38DD"/>
    <w:rsid w:val="00CF5D0E"/>
    <w:rsid w:val="00D1112C"/>
    <w:rsid w:val="00D276FF"/>
    <w:rsid w:val="00D43840"/>
    <w:rsid w:val="00D47454"/>
    <w:rsid w:val="00D90309"/>
    <w:rsid w:val="00DB2FD6"/>
    <w:rsid w:val="00DB611D"/>
    <w:rsid w:val="00DC4B6A"/>
    <w:rsid w:val="00DD1FB6"/>
    <w:rsid w:val="00DE7AA6"/>
    <w:rsid w:val="00DF293A"/>
    <w:rsid w:val="00E0674C"/>
    <w:rsid w:val="00E247D1"/>
    <w:rsid w:val="00E41056"/>
    <w:rsid w:val="00E53459"/>
    <w:rsid w:val="00E53EDF"/>
    <w:rsid w:val="00E665C8"/>
    <w:rsid w:val="00E70556"/>
    <w:rsid w:val="00E84489"/>
    <w:rsid w:val="00E85DE5"/>
    <w:rsid w:val="00EB7BBD"/>
    <w:rsid w:val="00EE7E13"/>
    <w:rsid w:val="00F019DD"/>
    <w:rsid w:val="00F12DFB"/>
    <w:rsid w:val="00F227B7"/>
    <w:rsid w:val="00F3138A"/>
    <w:rsid w:val="00F43F9F"/>
    <w:rsid w:val="00F66111"/>
    <w:rsid w:val="00F73B60"/>
    <w:rsid w:val="00F8196E"/>
    <w:rsid w:val="00FB1E4C"/>
    <w:rsid w:val="00FD164D"/>
    <w:rsid w:val="00FD6292"/>
    <w:rsid w:val="00FF78C3"/>
    <w:rsid w:val="014741C7"/>
    <w:rsid w:val="02A27A45"/>
    <w:rsid w:val="03114E4D"/>
    <w:rsid w:val="032CFE9D"/>
    <w:rsid w:val="0407F597"/>
    <w:rsid w:val="086FFAF3"/>
    <w:rsid w:val="091E3820"/>
    <w:rsid w:val="0976E210"/>
    <w:rsid w:val="09BB2D91"/>
    <w:rsid w:val="0EDC9AA4"/>
    <w:rsid w:val="1228C244"/>
    <w:rsid w:val="12B06F75"/>
    <w:rsid w:val="12CB95D1"/>
    <w:rsid w:val="1335FCD3"/>
    <w:rsid w:val="13411AAD"/>
    <w:rsid w:val="134FF293"/>
    <w:rsid w:val="13CE511C"/>
    <w:rsid w:val="13E5C1E9"/>
    <w:rsid w:val="141948CF"/>
    <w:rsid w:val="1456DC22"/>
    <w:rsid w:val="14D1F8A3"/>
    <w:rsid w:val="15156A1B"/>
    <w:rsid w:val="15A3742F"/>
    <w:rsid w:val="16A0B825"/>
    <w:rsid w:val="17571213"/>
    <w:rsid w:val="190AF4B6"/>
    <w:rsid w:val="1A9D8951"/>
    <w:rsid w:val="1B680318"/>
    <w:rsid w:val="1BA80A8F"/>
    <w:rsid w:val="1DEEF19F"/>
    <w:rsid w:val="1FCDF9F9"/>
    <w:rsid w:val="200192C5"/>
    <w:rsid w:val="2109D0DA"/>
    <w:rsid w:val="2204C67C"/>
    <w:rsid w:val="23B0192E"/>
    <w:rsid w:val="24183239"/>
    <w:rsid w:val="245D7B3A"/>
    <w:rsid w:val="251676EB"/>
    <w:rsid w:val="252E8F88"/>
    <w:rsid w:val="26539608"/>
    <w:rsid w:val="26CA34E1"/>
    <w:rsid w:val="272525D4"/>
    <w:rsid w:val="284F145A"/>
    <w:rsid w:val="28A38B46"/>
    <w:rsid w:val="28BFEDE5"/>
    <w:rsid w:val="29B99A4F"/>
    <w:rsid w:val="29E35A56"/>
    <w:rsid w:val="2B8C401F"/>
    <w:rsid w:val="2C8CF3F2"/>
    <w:rsid w:val="2D0FFD95"/>
    <w:rsid w:val="2D594975"/>
    <w:rsid w:val="2E5062B5"/>
    <w:rsid w:val="2ED58AF8"/>
    <w:rsid w:val="2F9F5398"/>
    <w:rsid w:val="2FB4C2CC"/>
    <w:rsid w:val="310821F1"/>
    <w:rsid w:val="31943070"/>
    <w:rsid w:val="39774E3D"/>
    <w:rsid w:val="39FE05FC"/>
    <w:rsid w:val="3A96F88E"/>
    <w:rsid w:val="3D8CD528"/>
    <w:rsid w:val="3ED701E9"/>
    <w:rsid w:val="412929E5"/>
    <w:rsid w:val="43061D82"/>
    <w:rsid w:val="4508FB64"/>
    <w:rsid w:val="4739FDB8"/>
    <w:rsid w:val="490E7619"/>
    <w:rsid w:val="49BED3F7"/>
    <w:rsid w:val="49D7D2A4"/>
    <w:rsid w:val="4CA21A5B"/>
    <w:rsid w:val="50603FB5"/>
    <w:rsid w:val="52AD1AE0"/>
    <w:rsid w:val="56BAB63E"/>
    <w:rsid w:val="56D7DEFE"/>
    <w:rsid w:val="570A3406"/>
    <w:rsid w:val="57F6518D"/>
    <w:rsid w:val="580C7AE3"/>
    <w:rsid w:val="581CC42F"/>
    <w:rsid w:val="5848B42D"/>
    <w:rsid w:val="5A0996DC"/>
    <w:rsid w:val="5CC2DA5C"/>
    <w:rsid w:val="5D1BE258"/>
    <w:rsid w:val="5D8D3C71"/>
    <w:rsid w:val="5E7C0D44"/>
    <w:rsid w:val="63EFBDEE"/>
    <w:rsid w:val="658ED056"/>
    <w:rsid w:val="69D5C380"/>
    <w:rsid w:val="6AEC8B06"/>
    <w:rsid w:val="6B06B6CB"/>
    <w:rsid w:val="6B19222F"/>
    <w:rsid w:val="6C9AFD9B"/>
    <w:rsid w:val="6D2E8CBE"/>
    <w:rsid w:val="6DB5B8F7"/>
    <w:rsid w:val="6DCD883A"/>
    <w:rsid w:val="73339B8C"/>
    <w:rsid w:val="73ED80DA"/>
    <w:rsid w:val="755A396A"/>
    <w:rsid w:val="75922F20"/>
    <w:rsid w:val="76B5ABC4"/>
    <w:rsid w:val="77CA5819"/>
    <w:rsid w:val="788E6B22"/>
    <w:rsid w:val="7A82807C"/>
    <w:rsid w:val="7BC2546A"/>
    <w:rsid w:val="7BF56094"/>
    <w:rsid w:val="7C1BFA5A"/>
    <w:rsid w:val="7DBCAA7E"/>
    <w:rsid w:val="7EBE79E1"/>
    <w:rsid w:val="7F0D8407"/>
    <w:rsid w:val="7FDD6BAE"/>
    <w:rsid w:val="7FEB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BFA5A"/>
  <w15:chartTrackingRefBased/>
  <w15:docId w15:val="{945926B4-DF96-4082-B443-96BAF3907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DEEF19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DEEF19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65C7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91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10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91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10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910C1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549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s://clinicaltrials.gov/study/NCT06271837?term=trastuzumab%20deruxtecan;%20bevacizumab&amp;rank=1" TargetMode="External" Id="rId13" /><Relationship Type="http://schemas.openxmlformats.org/officeDocument/2006/relationships/image" Target="media/image3.png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astrazeneca.com/media-centre/press-releases/2024/enhertu-approved-in-the-us-as-first-tumour-agnostic-her2-directed-therapy-for-previously-treated-patients-with-metastatic-her2-positive-solid-tumours.html" TargetMode="External" Id="rId12" /><Relationship Type="http://schemas.openxmlformats.org/officeDocument/2006/relationships/image" Target="media/image2.png" Id="rId17" /><Relationship Type="http://schemas.openxmlformats.org/officeDocument/2006/relationships/customXml" Target="../customXml/item2.xml" Id="rId2" /><Relationship Type="http://schemas.openxmlformats.org/officeDocument/2006/relationships/hyperlink" Target="mailto:colleen.plesac@abbvie.com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clinicaltrials.gov/study/NCT04482309?term=NCT04482309&amp;rank=1" TargetMode="External" Id="rId11" /><Relationship Type="http://schemas.openxmlformats.org/officeDocument/2006/relationships/styles" Target="styles.xml" Id="rId5" /><Relationship Type="http://schemas.openxmlformats.org/officeDocument/2006/relationships/hyperlink" Target="mailto:chen.gao@abbvie.com" TargetMode="External" Id="rId15" /><Relationship Type="http://schemas.openxmlformats.org/officeDocument/2006/relationships/hyperlink" Target="https://ascopost.com/issues/december-10-2024/overall-survival-not-improved-with-maintenance-niraparib-in-advanced-ovarian-cancer/" TargetMode="External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hyperlink" Target="https://clinicaltrials.gov/study/NCT06819007?term=NCT06819007&amp;rank=1" TargetMode="External" Id="rId9" /><Relationship Type="http://schemas.openxmlformats.org/officeDocument/2006/relationships/hyperlink" Target="mailto:maureen.nail@abbvie.co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436326-BB06-4EE4-9584-370D9DC78EAD}">
  <ds:schemaRefs>
    <ds:schemaRef ds:uri="http://schemas.microsoft.com/office/2006/metadata/properties"/>
    <ds:schemaRef ds:uri="http://schemas.microsoft.com/office/infopath/2007/PartnerControls"/>
    <ds:schemaRef ds:uri="75f0410d-776c-4ead-a371-a12a491d997a"/>
    <ds:schemaRef ds:uri="043e1017-c5a4-4201-a35d-9d1168f65886"/>
  </ds:schemaRefs>
</ds:datastoreItem>
</file>

<file path=customXml/itemProps2.xml><?xml version="1.0" encoding="utf-8"?>
<ds:datastoreItem xmlns:ds="http://schemas.openxmlformats.org/officeDocument/2006/customXml" ds:itemID="{BBFAB963-B80D-4367-8524-EED324D4C9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D983C9-7877-4B18-AC40-191A7C94046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Plesac, Colleen</dc:creator>
  <cp:keywords/>
  <dc:description/>
  <cp:lastModifiedBy>Nail, Maureen</cp:lastModifiedBy>
  <cp:revision>78</cp:revision>
  <dcterms:created xsi:type="dcterms:W3CDTF">2025-02-13T22:24:00Z</dcterms:created>
  <dcterms:modified xsi:type="dcterms:W3CDTF">2025-02-19T16:24:23Z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  <property fmtid="{D5CDD505-2E9C-101B-9397-08002B2CF9AE}" pid="3" name="MediaServiceImageTags">
    <vt:lpwstr/>
  </property>
</Properties>
</file>