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E135F9" w14:paraId="16349D05" w14:textId="77777777" w:rsidTr="00E135F9">
        <w:tc>
          <w:tcPr>
            <w:tcW w:w="9350" w:type="dxa"/>
          </w:tcPr>
          <w:p w14:paraId="7EBF9142" w14:textId="109F1F86" w:rsidR="00E135F9" w:rsidRDefault="00E135F9" w:rsidP="00E135F9">
            <w:pPr>
              <w:jc w:val="center"/>
            </w:pPr>
            <w:r>
              <w:rPr>
                <w:rFonts w:ascii="Aptos" w:eastAsia="Aptos" w:hAnsi="Aptos" w:cs="Aptos"/>
                <w:noProof/>
                <w:kern w:val="0"/>
                <w14:ligatures w14:val="none"/>
              </w:rPr>
              <w:drawing>
                <wp:inline distT="0" distB="0" distL="0" distR="0" wp14:anchorId="43891592" wp14:editId="44EF59A8">
                  <wp:extent cx="6036355" cy="1061720"/>
                  <wp:effectExtent l="0" t="0" r="2540" b="5080"/>
                  <wp:docPr id="814567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0149" cy="10623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5F9" w14:paraId="5B13BA96" w14:textId="77777777" w:rsidTr="00E135F9">
        <w:tc>
          <w:tcPr>
            <w:tcW w:w="9350" w:type="dxa"/>
          </w:tcPr>
          <w:p w14:paraId="7B788F05" w14:textId="30F368EE" w:rsidR="00E135F9" w:rsidRDefault="00E135F9" w:rsidP="00E135F9">
            <w:pPr>
              <w:jc w:val="center"/>
            </w:pPr>
            <w:r w:rsidRPr="009A06B5">
              <w:rPr>
                <w:noProof/>
              </w:rPr>
              <w:drawing>
                <wp:inline distT="0" distB="0" distL="0" distR="0" wp14:anchorId="050D4EDA" wp14:editId="6A96B33F">
                  <wp:extent cx="2063856" cy="654084"/>
                  <wp:effectExtent l="0" t="0" r="0" b="0"/>
                  <wp:docPr id="754938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93863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3856" cy="654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5F9" w14:paraId="635F2F1B" w14:textId="77777777" w:rsidTr="00E135F9">
        <w:tc>
          <w:tcPr>
            <w:tcW w:w="9350" w:type="dxa"/>
          </w:tcPr>
          <w:p w14:paraId="612ADA70" w14:textId="77777777" w:rsidR="00EE55C6" w:rsidRDefault="00EE55C6" w:rsidP="00E135F9">
            <w:pPr>
              <w:rPr>
                <w:b/>
                <w:bCs/>
                <w:color w:val="153D63" w:themeColor="text2" w:themeTint="E6"/>
              </w:rPr>
            </w:pPr>
          </w:p>
          <w:p w14:paraId="28B9F677" w14:textId="4795897F" w:rsidR="00E135F9" w:rsidRDefault="00E135F9" w:rsidP="00E135F9">
            <w:pPr>
              <w:rPr>
                <w:b/>
                <w:bCs/>
                <w:color w:val="153D63" w:themeColor="text2" w:themeTint="E6"/>
              </w:rPr>
            </w:pPr>
            <w:r>
              <w:rPr>
                <w:b/>
                <w:bCs/>
                <w:color w:val="153D63" w:themeColor="text2" w:themeTint="E6"/>
              </w:rPr>
              <w:t xml:space="preserve">Leap Therapeutics </w:t>
            </w:r>
            <w:hyperlink r:id="rId10" w:history="1">
              <w:r w:rsidRPr="009A06B5">
                <w:rPr>
                  <w:rStyle w:val="Hyperlink"/>
                  <w:b/>
                  <w:bCs/>
                </w:rPr>
                <w:t>announced</w:t>
              </w:r>
            </w:hyperlink>
            <w:r w:rsidRPr="4271252C">
              <w:rPr>
                <w:b/>
                <w:bCs/>
                <w:color w:val="153D63" w:themeColor="text2" w:themeTint="E6"/>
              </w:rPr>
              <w:t xml:space="preserve"> </w:t>
            </w:r>
            <w:r>
              <w:rPr>
                <w:b/>
                <w:bCs/>
                <w:color w:val="153D63" w:themeColor="text2" w:themeTint="E6"/>
              </w:rPr>
              <w:t xml:space="preserve">positive, statistically significant results in subgroups of </w:t>
            </w:r>
            <w:r w:rsidR="00EE55C6">
              <w:rPr>
                <w:b/>
                <w:bCs/>
                <w:color w:val="153D63" w:themeColor="text2" w:themeTint="E6"/>
              </w:rPr>
              <w:t xml:space="preserve">the </w:t>
            </w:r>
            <w:hyperlink r:id="rId11" w:history="1">
              <w:r w:rsidRPr="001E1F07">
                <w:rPr>
                  <w:rStyle w:val="Hyperlink"/>
                  <w:b/>
                  <w:bCs/>
                </w:rPr>
                <w:t xml:space="preserve">P2 </w:t>
              </w:r>
              <w:proofErr w:type="spellStart"/>
              <w:r w:rsidRPr="001E1F07">
                <w:rPr>
                  <w:rStyle w:val="Hyperlink"/>
                  <w:b/>
                  <w:bCs/>
                </w:rPr>
                <w:t>DeFianCe</w:t>
              </w:r>
              <w:proofErr w:type="spellEnd"/>
            </w:hyperlink>
            <w:r>
              <w:rPr>
                <w:b/>
                <w:bCs/>
                <w:color w:val="153D63" w:themeColor="text2" w:themeTint="E6"/>
              </w:rPr>
              <w:t xml:space="preserve"> </w:t>
            </w:r>
            <w:r w:rsidR="00EE55C6">
              <w:rPr>
                <w:b/>
                <w:bCs/>
                <w:color w:val="153D63" w:themeColor="text2" w:themeTint="E6"/>
              </w:rPr>
              <w:t xml:space="preserve">RCT </w:t>
            </w:r>
            <w:r>
              <w:rPr>
                <w:b/>
                <w:bCs/>
                <w:color w:val="153D63" w:themeColor="text2" w:themeTint="E6"/>
              </w:rPr>
              <w:t xml:space="preserve">study in 2L mCRC. A </w:t>
            </w:r>
            <w:hyperlink r:id="rId12" w:history="1">
              <w:r w:rsidRPr="00A84F6A">
                <w:rPr>
                  <w:rStyle w:val="Hyperlink"/>
                  <w:b/>
                  <w:bCs/>
                </w:rPr>
                <w:t>presentation</w:t>
              </w:r>
            </w:hyperlink>
            <w:r>
              <w:rPr>
                <w:b/>
                <w:bCs/>
                <w:color w:val="153D63" w:themeColor="text2" w:themeTint="E6"/>
              </w:rPr>
              <w:t xml:space="preserve"> to investors showed the company’s DKK1i </w:t>
            </w:r>
            <w:proofErr w:type="spellStart"/>
            <w:r>
              <w:rPr>
                <w:b/>
                <w:bCs/>
                <w:color w:val="153D63" w:themeColor="text2" w:themeTint="E6"/>
              </w:rPr>
              <w:t>mAb</w:t>
            </w:r>
            <w:proofErr w:type="spellEnd"/>
            <w:r>
              <w:rPr>
                <w:b/>
                <w:bCs/>
                <w:color w:val="153D63" w:themeColor="text2" w:themeTint="E6"/>
              </w:rPr>
              <w:t xml:space="preserve"> </w:t>
            </w:r>
            <w:proofErr w:type="spellStart"/>
            <w:r>
              <w:rPr>
                <w:b/>
                <w:bCs/>
                <w:color w:val="153D63" w:themeColor="text2" w:themeTint="E6"/>
              </w:rPr>
              <w:t>sirexatamab</w:t>
            </w:r>
            <w:proofErr w:type="spellEnd"/>
            <w:r>
              <w:rPr>
                <w:b/>
                <w:bCs/>
                <w:color w:val="153D63" w:themeColor="text2" w:themeTint="E6"/>
              </w:rPr>
              <w:t xml:space="preserve"> (DKN-01) added to SOC bevacizumab + FOLFOX or FOLFIRI </w:t>
            </w:r>
            <w:r w:rsidR="00823B78">
              <w:rPr>
                <w:b/>
                <w:bCs/>
                <w:color w:val="153D63" w:themeColor="text2" w:themeTint="E6"/>
              </w:rPr>
              <w:t>showed POC</w:t>
            </w:r>
            <w:r w:rsidR="00176309">
              <w:rPr>
                <w:b/>
                <w:bCs/>
                <w:color w:val="153D63" w:themeColor="text2" w:themeTint="E6"/>
              </w:rPr>
              <w:t xml:space="preserve"> in</w:t>
            </w:r>
            <w:r>
              <w:rPr>
                <w:b/>
                <w:bCs/>
                <w:color w:val="153D63" w:themeColor="text2" w:themeTint="E6"/>
              </w:rPr>
              <w:t xml:space="preserve"> 2L mCRC</w:t>
            </w:r>
            <w:r w:rsidR="00176309">
              <w:rPr>
                <w:b/>
                <w:bCs/>
                <w:color w:val="153D63" w:themeColor="text2" w:themeTint="E6"/>
              </w:rPr>
              <w:t xml:space="preserve"> pts with high DKK1 expression and no prior VEGF</w:t>
            </w:r>
            <w:r w:rsidR="00F87A76">
              <w:rPr>
                <w:b/>
                <w:bCs/>
                <w:color w:val="153D63" w:themeColor="text2" w:themeTint="E6"/>
              </w:rPr>
              <w:t xml:space="preserve"> </w:t>
            </w:r>
            <w:proofErr w:type="spellStart"/>
            <w:r w:rsidR="00176309">
              <w:rPr>
                <w:b/>
                <w:bCs/>
                <w:color w:val="153D63" w:themeColor="text2" w:themeTint="E6"/>
              </w:rPr>
              <w:t>tx</w:t>
            </w:r>
            <w:proofErr w:type="spellEnd"/>
            <w:r>
              <w:rPr>
                <w:b/>
                <w:bCs/>
                <w:color w:val="153D63" w:themeColor="text2" w:themeTint="E6"/>
              </w:rPr>
              <w:t>:</w:t>
            </w:r>
          </w:p>
          <w:p w14:paraId="42A58800" w14:textId="60A84196" w:rsidR="007E0FF1" w:rsidRPr="009A06B5" w:rsidRDefault="007E0FF1" w:rsidP="00E135F9">
            <w:pPr>
              <w:rPr>
                <w:noProof/>
              </w:rPr>
            </w:pPr>
          </w:p>
        </w:tc>
      </w:tr>
    </w:tbl>
    <w:tbl>
      <w:tblPr>
        <w:tblW w:w="9465" w:type="dxa"/>
        <w:tblLook w:val="04A0" w:firstRow="1" w:lastRow="0" w:firstColumn="1" w:lastColumn="0" w:noHBand="0" w:noVBand="1"/>
      </w:tblPr>
      <w:tblGrid>
        <w:gridCol w:w="1400"/>
        <w:gridCol w:w="843"/>
        <w:gridCol w:w="696"/>
        <w:gridCol w:w="844"/>
        <w:gridCol w:w="815"/>
        <w:gridCol w:w="817"/>
        <w:gridCol w:w="854"/>
        <w:gridCol w:w="841"/>
        <w:gridCol w:w="696"/>
        <w:gridCol w:w="870"/>
        <w:gridCol w:w="870"/>
      </w:tblGrid>
      <w:tr w:rsidR="00E135F9" w:rsidRPr="00E135F9" w14:paraId="47B9F8DD" w14:textId="77777777" w:rsidTr="00EE55C6">
        <w:trPr>
          <w:trHeight w:val="24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57EEE" w14:textId="77777777" w:rsidR="00E135F9" w:rsidRPr="00E135F9" w:rsidRDefault="00E135F9" w:rsidP="00E135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19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7B341D6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DKK1 expression</w:t>
            </w:r>
          </w:p>
        </w:tc>
        <w:tc>
          <w:tcPr>
            <w:tcW w:w="16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2F16C43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No prior VEGF </w:t>
            </w:r>
            <w:proofErr w:type="spellStart"/>
            <w:r w:rsidRPr="00E135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tx</w:t>
            </w:r>
            <w:proofErr w:type="spellEnd"/>
          </w:p>
        </w:tc>
        <w:tc>
          <w:tcPr>
            <w:tcW w:w="145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D2FEB1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ITT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17031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Benchmark efficacy</w:t>
            </w:r>
          </w:p>
        </w:tc>
      </w:tr>
      <w:tr w:rsidR="00E135F9" w:rsidRPr="00E135F9" w14:paraId="5E68F1E8" w14:textId="77777777" w:rsidTr="00EE55C6">
        <w:trPr>
          <w:trHeight w:val="22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D0C3A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3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21AF405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Upper quartile</w:t>
            </w:r>
          </w:p>
        </w:tc>
        <w:tc>
          <w:tcPr>
            <w:tcW w:w="165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F1053B0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Above the median</w:t>
            </w:r>
          </w:p>
        </w:tc>
        <w:tc>
          <w:tcPr>
            <w:tcW w:w="167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6741C3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n=95</w:t>
            </w:r>
          </w:p>
        </w:tc>
        <w:tc>
          <w:tcPr>
            <w:tcW w:w="14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4527982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N=188</w:t>
            </w:r>
          </w:p>
        </w:tc>
        <w:tc>
          <w:tcPr>
            <w:tcW w:w="17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B0C3563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2L mCRC</w:t>
            </w:r>
          </w:p>
        </w:tc>
      </w:tr>
      <w:tr w:rsidR="00E135F9" w:rsidRPr="00E135F9" w14:paraId="69FB86CE" w14:textId="77777777" w:rsidTr="00EE55C6">
        <w:trPr>
          <w:trHeight w:val="22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5469E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3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A430678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n=44</w:t>
            </w:r>
          </w:p>
        </w:tc>
        <w:tc>
          <w:tcPr>
            <w:tcW w:w="16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85C1929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n=88</w:t>
            </w:r>
          </w:p>
        </w:tc>
        <w:tc>
          <w:tcPr>
            <w:tcW w:w="167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3E2592" w14:textId="77777777" w:rsidR="00E135F9" w:rsidRPr="00E135F9" w:rsidRDefault="00E135F9" w:rsidP="00E135F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5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340643" w14:textId="77777777" w:rsidR="00E135F9" w:rsidRPr="00E135F9" w:rsidRDefault="00E135F9" w:rsidP="00E135F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4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5E12955" w14:textId="77777777" w:rsidR="00E135F9" w:rsidRPr="00E135F9" w:rsidRDefault="00E135F9" w:rsidP="00E135F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E135F9" w:rsidRPr="00E135F9" w14:paraId="64F815E6" w14:textId="77777777" w:rsidTr="00EE55C6">
        <w:trPr>
          <w:trHeight w:val="49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F805F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AF2D0"/>
            <w:vAlign w:val="bottom"/>
            <w:hideMark/>
          </w:tcPr>
          <w:p w14:paraId="5D9CC029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+ DKN-01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84C447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Control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D6ABA66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+ DKN-01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7DB664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Control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AF2D0"/>
            <w:vAlign w:val="bottom"/>
            <w:hideMark/>
          </w:tcPr>
          <w:p w14:paraId="6BCB0446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+DKN-01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6FEB7C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Control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EA9F033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+ DKN-01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70D3E9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Control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8E8E8"/>
            <w:vAlign w:val="bottom"/>
            <w:hideMark/>
          </w:tcPr>
          <w:p w14:paraId="6B7E3D07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SOC </w:t>
            </w:r>
            <w:proofErr w:type="spellStart"/>
            <w:r w:rsidRPr="00E135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VEGFi</w:t>
            </w:r>
            <w:proofErr w:type="spellEnd"/>
            <w:r w:rsidRPr="00E135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+ CT</w:t>
            </w:r>
          </w:p>
        </w:tc>
      </w:tr>
      <w:tr w:rsidR="00EE55C6" w:rsidRPr="00E135F9" w14:paraId="1E01313A" w14:textId="77777777" w:rsidTr="00EE55C6">
        <w:trPr>
          <w:trHeight w:val="29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D092D" w14:textId="77777777" w:rsidR="00E135F9" w:rsidRPr="00E135F9" w:rsidRDefault="00E135F9" w:rsidP="00E135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ORR </w:t>
            </w:r>
            <w:r w:rsidRPr="00E135F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(BICR)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1E05B70D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40%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C2DEF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5%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B1D36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40%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C9655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0F4FFC25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45%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8D2F0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22%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108B5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33%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7DCD6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16%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bottom"/>
            <w:hideMark/>
          </w:tcPr>
          <w:p w14:paraId="2D2FCE11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5%-13%</w:t>
            </w:r>
          </w:p>
        </w:tc>
      </w:tr>
      <w:tr w:rsidR="00EE55C6" w:rsidRPr="00E135F9" w14:paraId="6F888DFB" w14:textId="77777777" w:rsidTr="00EE55C6">
        <w:trPr>
          <w:trHeight w:val="29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A49C0" w14:textId="77777777" w:rsidR="00E135F9" w:rsidRPr="00E135F9" w:rsidRDefault="00E135F9" w:rsidP="00E135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135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mPFS</w:t>
            </w:r>
            <w:proofErr w:type="spellEnd"/>
            <w:r w:rsidRPr="00E135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135F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E135F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mos</w:t>
            </w:r>
            <w:proofErr w:type="spellEnd"/>
            <w:r w:rsidRPr="00E135F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217C0FC3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9.4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56A7B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5.9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2C4D4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7.7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5D22F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7.2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3D1D0E65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10.9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E10CF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8.3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7A00D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7.8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3FE2B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8.3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bottom"/>
            <w:hideMark/>
          </w:tcPr>
          <w:p w14:paraId="489AA3BE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~5-7</w:t>
            </w:r>
          </w:p>
        </w:tc>
      </w:tr>
      <w:tr w:rsidR="00E135F9" w:rsidRPr="00E135F9" w14:paraId="111DA29F" w14:textId="77777777" w:rsidTr="00EE55C6">
        <w:trPr>
          <w:trHeight w:val="290"/>
        </w:trPr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BBCDD8" w14:textId="77777777" w:rsidR="00E135F9" w:rsidRPr="00E135F9" w:rsidRDefault="00E135F9" w:rsidP="00E135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135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mOS</w:t>
            </w:r>
            <w:proofErr w:type="spellEnd"/>
            <w:r w:rsidRPr="00E135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135F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E135F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mos</w:t>
            </w:r>
            <w:proofErr w:type="spellEnd"/>
            <w:r w:rsidRPr="00E135F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AF2D0"/>
            <w:noWrap/>
            <w:vAlign w:val="bottom"/>
            <w:hideMark/>
          </w:tcPr>
          <w:p w14:paraId="13D4B475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Not reached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1BAFF0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9.5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39764F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Not reached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7C92A9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Not reached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AF2D0"/>
            <w:noWrap/>
            <w:vAlign w:val="bottom"/>
            <w:hideMark/>
          </w:tcPr>
          <w:p w14:paraId="34132EB1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Not reached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F31936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Not Reached</w:t>
            </w:r>
          </w:p>
        </w:tc>
        <w:tc>
          <w:tcPr>
            <w:tcW w:w="145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1B0F73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Not reported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8E8E8"/>
            <w:noWrap/>
            <w:vAlign w:val="bottom"/>
            <w:hideMark/>
          </w:tcPr>
          <w:p w14:paraId="3C2C78A8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E135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~11-14</w:t>
            </w:r>
          </w:p>
        </w:tc>
      </w:tr>
      <w:tr w:rsidR="00E135F9" w:rsidRPr="00E135F9" w14:paraId="34F4E3DC" w14:textId="77777777" w:rsidTr="00EE55C6">
        <w:trPr>
          <w:trHeight w:val="29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45C38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48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829B80" w14:textId="765B6B1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proofErr w:type="gramStart"/>
            <w:r w:rsidRPr="00E135F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All of</w:t>
            </w:r>
            <w:proofErr w:type="gramEnd"/>
            <w:r w:rsidRPr="00E135F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 xml:space="preserve"> the above results reached statistical </w:t>
            </w:r>
            <w:r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significance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43818" w14:textId="77777777" w:rsidR="00E135F9" w:rsidRPr="00E135F9" w:rsidRDefault="00E135F9" w:rsidP="00E135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8CC36" w14:textId="77777777" w:rsidR="00E135F9" w:rsidRPr="00E135F9" w:rsidRDefault="00E135F9" w:rsidP="00E135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EDEC7" w14:textId="77777777" w:rsidR="00E135F9" w:rsidRPr="00E135F9" w:rsidRDefault="00E135F9" w:rsidP="00E135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543C0" w14:textId="77777777" w:rsidR="00E135F9" w:rsidRPr="00E135F9" w:rsidRDefault="00E135F9" w:rsidP="00E135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35BBC77" w14:textId="77777777" w:rsidR="00122B2E" w:rsidRDefault="00122B2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2E40BE" w14:paraId="35EF65BE" w14:textId="77777777" w:rsidTr="002E40BE">
        <w:tc>
          <w:tcPr>
            <w:tcW w:w="9350" w:type="dxa"/>
          </w:tcPr>
          <w:p w14:paraId="601A1F13" w14:textId="77777777" w:rsidR="002E40BE" w:rsidRDefault="002E40BE" w:rsidP="002E40BE">
            <w:pPr>
              <w:rPr>
                <w:b/>
                <w:bCs/>
                <w:color w:val="153D63" w:themeColor="text2" w:themeTint="E6"/>
              </w:rPr>
            </w:pPr>
            <w:r>
              <w:rPr>
                <w:b/>
                <w:bCs/>
                <w:color w:val="153D63" w:themeColor="text2" w:themeTint="E6"/>
              </w:rPr>
              <w:t>No safety data was provided in this week’s announcement. Leap previously reported safety lead-in results of only a single dose of the experimental drug (n=33; ASCO GI 2024)</w:t>
            </w:r>
          </w:p>
          <w:p w14:paraId="09845CF9" w14:textId="77777777" w:rsidR="002E40BE" w:rsidRDefault="002E40BE">
            <w:pPr>
              <w:rPr>
                <w:b/>
                <w:bCs/>
                <w:color w:val="153D63" w:themeColor="text2" w:themeTint="E6"/>
              </w:rPr>
            </w:pPr>
          </w:p>
        </w:tc>
      </w:tr>
      <w:tr w:rsidR="002E40BE" w14:paraId="0D5FA166" w14:textId="77777777" w:rsidTr="002E40BE">
        <w:tc>
          <w:tcPr>
            <w:tcW w:w="9350" w:type="dxa"/>
          </w:tcPr>
          <w:p w14:paraId="3B80B214" w14:textId="77777777" w:rsidR="002E40BE" w:rsidRPr="001078C6" w:rsidRDefault="002E40BE" w:rsidP="002E40BE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1078C6">
              <w:rPr>
                <w:color w:val="000000" w:themeColor="text1"/>
              </w:rPr>
              <w:t xml:space="preserve">Gr≥3 AE </w:t>
            </w:r>
            <w:r>
              <w:rPr>
                <w:color w:val="000000" w:themeColor="text1"/>
              </w:rPr>
              <w:t xml:space="preserve">occurred in </w:t>
            </w:r>
            <w:r w:rsidRPr="001078C6">
              <w:rPr>
                <w:color w:val="000000" w:themeColor="text1"/>
              </w:rPr>
              <w:t>64%</w:t>
            </w:r>
            <w:r>
              <w:rPr>
                <w:color w:val="000000" w:themeColor="text1"/>
              </w:rPr>
              <w:t xml:space="preserve"> and</w:t>
            </w:r>
            <w:r w:rsidRPr="001078C6">
              <w:rPr>
                <w:color w:val="000000" w:themeColor="text1"/>
              </w:rPr>
              <w:t xml:space="preserve"> included neutropenia (37%), anemia (11%), diarrhea (7%) and </w:t>
            </w:r>
            <w:r w:rsidRPr="001078C6">
              <w:rPr>
                <w:b/>
                <w:bCs/>
                <w:color w:val="000000" w:themeColor="text1"/>
              </w:rPr>
              <w:t>sepsis at 11% with one pt death</w:t>
            </w:r>
          </w:p>
          <w:p w14:paraId="3C1F0716" w14:textId="77777777" w:rsidR="002E40BE" w:rsidRDefault="002E40BE">
            <w:pPr>
              <w:rPr>
                <w:b/>
                <w:bCs/>
                <w:color w:val="153D63" w:themeColor="text2" w:themeTint="E6"/>
              </w:rPr>
            </w:pPr>
          </w:p>
        </w:tc>
      </w:tr>
      <w:tr w:rsidR="002E40BE" w14:paraId="56C56FA2" w14:textId="77777777" w:rsidTr="002E40BE">
        <w:tc>
          <w:tcPr>
            <w:tcW w:w="9350" w:type="dxa"/>
          </w:tcPr>
          <w:p w14:paraId="17FF8980" w14:textId="77777777" w:rsidR="002E40BE" w:rsidRDefault="002E40BE" w:rsidP="002E40BE">
            <w:pPr>
              <w:rPr>
                <w:b/>
                <w:bCs/>
                <w:color w:val="153D63" w:themeColor="text2" w:themeTint="E6"/>
              </w:rPr>
            </w:pPr>
            <w:r w:rsidRPr="00E135F9">
              <w:rPr>
                <w:b/>
                <w:bCs/>
                <w:color w:val="153D63" w:themeColor="text2" w:themeTint="E6"/>
              </w:rPr>
              <w:t>Leap</w:t>
            </w:r>
            <w:r>
              <w:rPr>
                <w:b/>
                <w:bCs/>
                <w:color w:val="153D63" w:themeColor="text2" w:themeTint="E6"/>
              </w:rPr>
              <w:t xml:space="preserve"> is seeking a partner “</w:t>
            </w:r>
            <w:r w:rsidRPr="007E0FF1">
              <w:rPr>
                <w:b/>
                <w:bCs/>
                <w:i/>
                <w:iCs/>
                <w:color w:val="153D63" w:themeColor="text2" w:themeTint="E6"/>
              </w:rPr>
              <w:t>to bring the therapy to the market</w:t>
            </w:r>
            <w:r>
              <w:rPr>
                <w:b/>
                <w:bCs/>
                <w:color w:val="153D63" w:themeColor="text2" w:themeTint="E6"/>
              </w:rPr>
              <w:t xml:space="preserve">…” and in the meantime, the company is developing a companion diagnostic for the DKK1 expression for use in the P3  </w:t>
            </w:r>
          </w:p>
          <w:p w14:paraId="28BF87B2" w14:textId="77777777" w:rsidR="002E40BE" w:rsidRDefault="002E40BE">
            <w:pPr>
              <w:rPr>
                <w:b/>
                <w:bCs/>
                <w:color w:val="153D63" w:themeColor="text2" w:themeTint="E6"/>
              </w:rPr>
            </w:pPr>
          </w:p>
        </w:tc>
      </w:tr>
      <w:tr w:rsidR="002E40BE" w14:paraId="334C1195" w14:textId="77777777" w:rsidTr="002E40BE">
        <w:tc>
          <w:tcPr>
            <w:tcW w:w="9350" w:type="dxa"/>
          </w:tcPr>
          <w:p w14:paraId="4751F1DF" w14:textId="77777777" w:rsidR="002E40BE" w:rsidRPr="00E135F9" w:rsidRDefault="002E40BE" w:rsidP="002E40BE">
            <w:pPr>
              <w:rPr>
                <w:b/>
                <w:bCs/>
                <w:color w:val="153D63" w:themeColor="text2" w:themeTint="E6"/>
              </w:rPr>
            </w:pPr>
            <w:r>
              <w:rPr>
                <w:b/>
                <w:bCs/>
                <w:color w:val="153D63" w:themeColor="text2" w:themeTint="E6"/>
              </w:rPr>
              <w:t xml:space="preserve">Leap </w:t>
            </w:r>
            <w:hyperlink r:id="rId13" w:history="1">
              <w:r w:rsidRPr="00EE55C6">
                <w:rPr>
                  <w:rStyle w:val="Hyperlink"/>
                  <w:b/>
                  <w:bCs/>
                </w:rPr>
                <w:t>previously announced</w:t>
              </w:r>
            </w:hyperlink>
            <w:r>
              <w:rPr>
                <w:b/>
                <w:bCs/>
                <w:color w:val="153D63" w:themeColor="text2" w:themeTint="E6"/>
              </w:rPr>
              <w:t xml:space="preserve"> development of DKN-01 in gastric cancer would not advance to P3, based on P2 data</w:t>
            </w:r>
          </w:p>
          <w:p w14:paraId="6F588DFD" w14:textId="77777777" w:rsidR="002E40BE" w:rsidRDefault="002E40BE">
            <w:pPr>
              <w:rPr>
                <w:b/>
                <w:bCs/>
                <w:color w:val="153D63" w:themeColor="text2" w:themeTint="E6"/>
              </w:rPr>
            </w:pPr>
          </w:p>
        </w:tc>
      </w:tr>
    </w:tbl>
    <w:p w14:paraId="25DD4683" w14:textId="579AF5D1" w:rsidR="00E135F9" w:rsidRPr="00E135F9" w:rsidRDefault="00E135F9" w:rsidP="002E40BE">
      <w:pPr>
        <w:rPr>
          <w:b/>
          <w:bCs/>
          <w:color w:val="153D63" w:themeColor="text2" w:themeTint="E6"/>
        </w:rPr>
      </w:pPr>
    </w:p>
    <w:sectPr w:rsidR="00E135F9" w:rsidRPr="00E135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1071"/>
    <w:multiLevelType w:val="hybridMultilevel"/>
    <w:tmpl w:val="EA706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8072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5F9"/>
    <w:rsid w:val="000F13D3"/>
    <w:rsid w:val="001078C6"/>
    <w:rsid w:val="00122B2E"/>
    <w:rsid w:val="001266BE"/>
    <w:rsid w:val="00176309"/>
    <w:rsid w:val="00187370"/>
    <w:rsid w:val="00202899"/>
    <w:rsid w:val="002D0D02"/>
    <w:rsid w:val="002E40BE"/>
    <w:rsid w:val="00312AE4"/>
    <w:rsid w:val="003709A7"/>
    <w:rsid w:val="003837ED"/>
    <w:rsid w:val="00452A56"/>
    <w:rsid w:val="00497526"/>
    <w:rsid w:val="00634443"/>
    <w:rsid w:val="00644364"/>
    <w:rsid w:val="00644CBD"/>
    <w:rsid w:val="006927DF"/>
    <w:rsid w:val="00697EEB"/>
    <w:rsid w:val="006B5AE2"/>
    <w:rsid w:val="007E0FF1"/>
    <w:rsid w:val="008036A0"/>
    <w:rsid w:val="00823B78"/>
    <w:rsid w:val="009F2834"/>
    <w:rsid w:val="00B363CC"/>
    <w:rsid w:val="00BE365A"/>
    <w:rsid w:val="00C50189"/>
    <w:rsid w:val="00E135F9"/>
    <w:rsid w:val="00EE55C6"/>
    <w:rsid w:val="00F15C0C"/>
    <w:rsid w:val="00F87A76"/>
    <w:rsid w:val="00FA4F59"/>
    <w:rsid w:val="00FC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F2D4C"/>
  <w15:chartTrackingRefBased/>
  <w15:docId w15:val="{5886870F-256B-4FD0-B57F-31CD53D24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5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35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135F9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55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3B7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88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investors.leaptx.com/news-releases/news-release-details/leap-therapeutics-reports-initial-clinical-data-part-b-defiance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investors.leaptx.com/static-files/5663d8c7-306b-4b17-ad82-c3b02db71477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linicaltrials.gov/study/NCT05480306?id=NCT05480306&amp;rank=1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investors.leaptx.com/news-releases/news-release-details/leap-therapeutics-reports-positive-updated-data-sirexatamab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_x0020_Modified_x002a_ xmlns="c181a9bc-3009-49f3-87b5-3c5d59e5a8cd" xsi:nil="true"/>
    <DateModified xmlns="c181a9bc-3009-49f3-87b5-3c5d59e5a8cd" xsi:nil="true"/>
    <lcf76f155ced4ddcb4097134ff3c332f xmlns="c181a9bc-3009-49f3-87b5-3c5d59e5a8cd">
      <Terms xmlns="http://schemas.microsoft.com/office/infopath/2007/PartnerControls"/>
    </lcf76f155ced4ddcb4097134ff3c332f>
    <TaxCatchAll xmlns="39fedafa-5d4b-4b53-a4b0-09c22e24986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CE8BC269E49047AC4189033AAA57A3" ma:contentTypeVersion="20" ma:contentTypeDescription="Create a new document." ma:contentTypeScope="" ma:versionID="8896ff2df6b79f88ae63dd2203c082d0">
  <xsd:schema xmlns:xsd="http://www.w3.org/2001/XMLSchema" xmlns:xs="http://www.w3.org/2001/XMLSchema" xmlns:p="http://schemas.microsoft.com/office/2006/metadata/properties" xmlns:ns2="39fedafa-5d4b-4b53-a4b0-09c22e24986c" xmlns:ns3="c181a9bc-3009-49f3-87b5-3c5d59e5a8cd" targetNamespace="http://schemas.microsoft.com/office/2006/metadata/properties" ma:root="true" ma:fieldsID="533f370c77e2c27d677819900e503027" ns2:_="" ns3:_="">
    <xsd:import namespace="39fedafa-5d4b-4b53-a4b0-09c22e24986c"/>
    <xsd:import namespace="c181a9bc-3009-49f3-87b5-3c5d59e5a8c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  <xsd:element ref="ns3:MediaLengthInSeconds" minOccurs="0"/>
                <xsd:element ref="ns3:DateModified" minOccurs="0"/>
                <xsd:element ref="ns3:Date_x0020_Modified_x002a_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edafa-5d4b-4b53-a4b0-09c22e24986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95269c-23ee-441e-a3b4-e4815b8dd5f8}" ma:internalName="TaxCatchAll" ma:showField="CatchAllData" ma:web="39fedafa-5d4b-4b53-a4b0-09c22e2498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81a9bc-3009-49f3-87b5-3c5d59e5a8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3c2da0-965e-4c49-9e20-3f7554834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DateModified" ma:index="25" nillable="true" ma:displayName="Date Modified" ma:format="DateOnly" ma:internalName="DateModified">
      <xsd:simpleType>
        <xsd:restriction base="dms:DateTime"/>
      </xsd:simpleType>
    </xsd:element>
    <xsd:element name="Date_x0020_Modified_x002a_" ma:index="26" nillable="true" ma:displayName="Date Modified*" ma:format="DateOnly" ma:internalName="Date_x0020_Modified_x002a_">
      <xsd:simpleType>
        <xsd:restriction base="dms:DateTim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830220-7DAF-4848-B51B-2B554825F4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FD9818-8B10-4B1D-A42E-CA7F51826FB7}">
  <ds:schemaRefs>
    <ds:schemaRef ds:uri="http://schemas.microsoft.com/office/2006/metadata/properties"/>
    <ds:schemaRef ds:uri="http://schemas.microsoft.com/office/infopath/2007/PartnerControls"/>
    <ds:schemaRef ds:uri="4354fadf-993e-4185-b1da-ba2eaec282af"/>
    <ds:schemaRef ds:uri="7104cb0c-1319-4207-a9b8-e706b9e41b82"/>
  </ds:schemaRefs>
</ds:datastoreItem>
</file>

<file path=customXml/itemProps3.xml><?xml version="1.0" encoding="utf-8"?>
<ds:datastoreItem xmlns:ds="http://schemas.openxmlformats.org/officeDocument/2006/customXml" ds:itemID="{168252E7-41AD-43BA-9A25-60CE03A5C73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Hohenberg, Kate W</dc:creator>
  <cp:keywords/>
  <dc:description/>
  <cp:lastModifiedBy>Hohenberg, Kate W</cp:lastModifiedBy>
  <cp:revision>29</cp:revision>
  <dcterms:created xsi:type="dcterms:W3CDTF">2025-03-26T18:41:00Z</dcterms:created>
  <dcterms:modified xsi:type="dcterms:W3CDTF">2025-03-27T12:29:00Z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0x010100FECE8BC269E49047AC4189033AAA57A3</vt:lpwstr>
  </property>
  <property fmtid="{D5CDD505-2E9C-101B-9397-08002B2CF9AE}" pid="3" name="MediaServiceImageTags">
    <vt:lpwstr/>
  </property>
</Properties>
</file>