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4FB6" w14:textId="180C3A68" w:rsidR="0096043A" w:rsidRPr="00452BFD" w:rsidRDefault="006D3CF8">
      <w:pPr>
        <w:rPr>
          <w:sz w:val="22"/>
          <w:szCs w:val="22"/>
        </w:rPr>
      </w:pPr>
      <w:r w:rsidRPr="00EB5C0A">
        <w:rPr>
          <w:rFonts w:eastAsia="SimSun" w:cstheme="minorHAnsi"/>
          <w:noProof/>
          <w:color w:val="000000"/>
          <w:kern w:val="0"/>
          <w:sz w:val="22"/>
          <w:szCs w:val="22"/>
          <w:lang w:eastAsia="zh-CN"/>
          <w14:ligatures w14:val="none"/>
        </w:rPr>
        <w:drawing>
          <wp:inline distT="0" distB="0" distL="0" distR="0" wp14:anchorId="55B973D2" wp14:editId="530A0479">
            <wp:extent cx="5943600" cy="1091570"/>
            <wp:effectExtent l="0" t="0" r="0" b="635"/>
            <wp:docPr id="2" name="Picture 5"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A blue background with white text&#10;&#10;AI-generated content may be incorrect."/>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5943600" cy="1091570"/>
                    </a:xfrm>
                    <a:prstGeom prst="rect">
                      <a:avLst/>
                    </a:prstGeom>
                    <a:noFill/>
                    <a:ln>
                      <a:noFill/>
                    </a:ln>
                  </pic:spPr>
                </pic:pic>
              </a:graphicData>
            </a:graphic>
          </wp:inline>
        </w:drawing>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043A" w:rsidRPr="00452BFD" w14:paraId="28D1A2F2" w14:textId="77777777" w:rsidTr="00CD2168">
        <w:tc>
          <w:tcPr>
            <w:tcW w:w="9350" w:type="dxa"/>
          </w:tcPr>
          <w:p w14:paraId="1ACC4076" w14:textId="2A542839" w:rsidR="0096043A" w:rsidRPr="00452BFD" w:rsidRDefault="0096043A" w:rsidP="00D76DAE">
            <w:pPr>
              <w:rPr>
                <w:sz w:val="22"/>
                <w:szCs w:val="22"/>
              </w:rPr>
            </w:pPr>
          </w:p>
        </w:tc>
      </w:tr>
      <w:tr w:rsidR="00AC3027" w:rsidRPr="00452BFD" w14:paraId="0A14553F" w14:textId="77777777" w:rsidTr="007E3FD6">
        <w:tc>
          <w:tcPr>
            <w:tcW w:w="9350" w:type="dxa"/>
          </w:tcPr>
          <w:p w14:paraId="106BB726" w14:textId="7417E06F" w:rsidR="00522D54" w:rsidRDefault="00793FA7" w:rsidP="00960CF9">
            <w:pPr>
              <w:spacing w:line="252" w:lineRule="auto"/>
              <w:rPr>
                <w:b/>
                <w:bCs/>
                <w:color w:val="001756"/>
                <w:sz w:val="22"/>
                <w:szCs w:val="22"/>
              </w:rPr>
            </w:pPr>
            <w:r>
              <w:rPr>
                <w:b/>
                <w:bCs/>
                <w:color w:val="001756"/>
                <w:sz w:val="22"/>
                <w:szCs w:val="22"/>
              </w:rPr>
              <w:t>The European Commission has approved a</w:t>
            </w:r>
            <w:r w:rsidR="00522D54">
              <w:rPr>
                <w:b/>
                <w:bCs/>
                <w:color w:val="001756"/>
                <w:sz w:val="22"/>
                <w:szCs w:val="22"/>
              </w:rPr>
              <w:t xml:space="preserve"> subcutaneous </w:t>
            </w:r>
            <w:proofErr w:type="spellStart"/>
            <w:r w:rsidR="00522D54">
              <w:rPr>
                <w:b/>
                <w:bCs/>
                <w:color w:val="001756"/>
                <w:sz w:val="22"/>
                <w:szCs w:val="22"/>
              </w:rPr>
              <w:t>amivantamab</w:t>
            </w:r>
            <w:proofErr w:type="spellEnd"/>
            <w:r w:rsidR="004A0FC5">
              <w:rPr>
                <w:b/>
                <w:bCs/>
                <w:color w:val="001756"/>
                <w:sz w:val="22"/>
                <w:szCs w:val="22"/>
              </w:rPr>
              <w:t xml:space="preserve">, as monotherapy </w:t>
            </w:r>
            <w:r w:rsidR="00A4263A">
              <w:rPr>
                <w:b/>
                <w:bCs/>
                <w:color w:val="001756"/>
                <w:sz w:val="22"/>
                <w:szCs w:val="22"/>
              </w:rPr>
              <w:t>in the small population of pts with EGFR</w:t>
            </w:r>
            <w:r w:rsidR="00A4263A">
              <w:rPr>
                <w:b/>
                <w:bCs/>
                <w:i/>
                <w:iCs/>
                <w:color w:val="001756"/>
                <w:sz w:val="22"/>
                <w:szCs w:val="22"/>
              </w:rPr>
              <w:t>ex20</w:t>
            </w:r>
            <w:r w:rsidR="00A4263A">
              <w:rPr>
                <w:b/>
                <w:bCs/>
                <w:color w:val="001756"/>
                <w:sz w:val="22"/>
                <w:szCs w:val="22"/>
              </w:rPr>
              <w:t xml:space="preserve"> NSCLC (2L) </w:t>
            </w:r>
            <w:r w:rsidR="004A0FC5">
              <w:rPr>
                <w:b/>
                <w:bCs/>
                <w:color w:val="001756"/>
                <w:sz w:val="22"/>
                <w:szCs w:val="22"/>
              </w:rPr>
              <w:t>and in combo with Lazertinib (EGFR TKI) in</w:t>
            </w:r>
            <w:r w:rsidR="00522D54">
              <w:rPr>
                <w:b/>
                <w:bCs/>
                <w:color w:val="001756"/>
                <w:sz w:val="22"/>
                <w:szCs w:val="22"/>
              </w:rPr>
              <w:t xml:space="preserve"> 1L EGFRm NSCLC (</w:t>
            </w:r>
            <w:hyperlink r:id="rId10" w:history="1">
              <w:r w:rsidR="00522D54" w:rsidRPr="00522D54">
                <w:rPr>
                  <w:rStyle w:val="Hyperlink"/>
                  <w:b/>
                  <w:bCs/>
                  <w:sz w:val="22"/>
                  <w:szCs w:val="22"/>
                </w:rPr>
                <w:t>J&amp;J Press Release</w:t>
              </w:r>
            </w:hyperlink>
            <w:r w:rsidR="00522D54">
              <w:rPr>
                <w:b/>
                <w:bCs/>
                <w:color w:val="001756"/>
                <w:sz w:val="22"/>
                <w:szCs w:val="22"/>
              </w:rPr>
              <w:t>)</w:t>
            </w:r>
            <w:r w:rsidR="00B14FC2">
              <w:t xml:space="preserve"> </w:t>
            </w:r>
            <w:r w:rsidR="00A60516" w:rsidRPr="00A60516">
              <w:rPr>
                <w:b/>
                <w:bCs/>
                <w:color w:val="001756"/>
                <w:sz w:val="22"/>
                <w:szCs w:val="22"/>
              </w:rPr>
              <w:t xml:space="preserve">The approval does not include </w:t>
            </w:r>
            <w:proofErr w:type="spellStart"/>
            <w:r w:rsidR="008C2737">
              <w:rPr>
                <w:b/>
                <w:bCs/>
                <w:color w:val="001756"/>
                <w:sz w:val="22"/>
                <w:szCs w:val="22"/>
              </w:rPr>
              <w:t>a</w:t>
            </w:r>
            <w:r w:rsidR="00A60516" w:rsidRPr="00A60516">
              <w:rPr>
                <w:b/>
                <w:bCs/>
                <w:color w:val="001756"/>
                <w:sz w:val="22"/>
                <w:szCs w:val="22"/>
              </w:rPr>
              <w:t>mivantamab</w:t>
            </w:r>
            <w:proofErr w:type="spellEnd"/>
            <w:r w:rsidR="00A60516" w:rsidRPr="00A60516">
              <w:rPr>
                <w:b/>
                <w:bCs/>
                <w:color w:val="001756"/>
                <w:sz w:val="22"/>
                <w:szCs w:val="22"/>
              </w:rPr>
              <w:t xml:space="preserve"> in combo with CT, regimens approved in 1L EGFRex20 and 2L EGFRm NSCLC</w:t>
            </w:r>
          </w:p>
          <w:p w14:paraId="4A1A2070" w14:textId="77777777" w:rsidR="00A60516" w:rsidRDefault="00A60516" w:rsidP="00960CF9">
            <w:pPr>
              <w:spacing w:line="252" w:lineRule="auto"/>
              <w:rPr>
                <w:b/>
                <w:bCs/>
                <w:color w:val="001756"/>
                <w:sz w:val="22"/>
                <w:szCs w:val="22"/>
              </w:rPr>
            </w:pPr>
          </w:p>
          <w:p w14:paraId="17F84D83" w14:textId="395B5F8C" w:rsidR="00522D54" w:rsidRDefault="00170296" w:rsidP="00252DAC">
            <w:pPr>
              <w:pStyle w:val="ListParagraph"/>
              <w:numPr>
                <w:ilvl w:val="0"/>
                <w:numId w:val="17"/>
              </w:numPr>
              <w:spacing w:line="252" w:lineRule="auto"/>
              <w:rPr>
                <w:b/>
                <w:bCs/>
                <w:color w:val="001756"/>
                <w:sz w:val="22"/>
                <w:szCs w:val="22"/>
              </w:rPr>
            </w:pPr>
            <w:r>
              <w:rPr>
                <w:b/>
                <w:bCs/>
                <w:color w:val="001756"/>
                <w:sz w:val="22"/>
                <w:szCs w:val="22"/>
              </w:rPr>
              <w:t xml:space="preserve">Approval was expected, following </w:t>
            </w:r>
            <w:r w:rsidR="00171A05">
              <w:rPr>
                <w:b/>
                <w:bCs/>
                <w:color w:val="001756"/>
                <w:sz w:val="22"/>
                <w:szCs w:val="22"/>
              </w:rPr>
              <w:t>positive CHMP opinion for the same indications</w:t>
            </w:r>
            <w:r>
              <w:rPr>
                <w:b/>
                <w:bCs/>
                <w:color w:val="001756"/>
                <w:sz w:val="22"/>
                <w:szCs w:val="22"/>
              </w:rPr>
              <w:t xml:space="preserve"> in </w:t>
            </w:r>
            <w:r w:rsidR="000A2D20">
              <w:rPr>
                <w:b/>
                <w:bCs/>
                <w:color w:val="001756"/>
                <w:sz w:val="22"/>
                <w:szCs w:val="22"/>
              </w:rPr>
              <w:t>February</w:t>
            </w:r>
          </w:p>
          <w:p w14:paraId="44A34EE7" w14:textId="77777777" w:rsidR="00AA0588" w:rsidRPr="00522D54" w:rsidRDefault="00AA0588" w:rsidP="00AA0588">
            <w:pPr>
              <w:pStyle w:val="ListParagraph"/>
              <w:spacing w:line="252" w:lineRule="auto"/>
              <w:rPr>
                <w:b/>
                <w:bCs/>
                <w:color w:val="001756"/>
                <w:sz w:val="22"/>
                <w:szCs w:val="22"/>
              </w:rPr>
            </w:pPr>
          </w:p>
          <w:p w14:paraId="29D59841" w14:textId="04DA2DD4" w:rsidR="00252DAC" w:rsidRPr="000A2D20" w:rsidRDefault="008F4627" w:rsidP="000A2D20">
            <w:pPr>
              <w:pStyle w:val="ListParagraph"/>
              <w:numPr>
                <w:ilvl w:val="0"/>
                <w:numId w:val="17"/>
              </w:numPr>
              <w:spacing w:line="252" w:lineRule="auto"/>
              <w:rPr>
                <w:b/>
                <w:bCs/>
                <w:color w:val="001756"/>
                <w:sz w:val="22"/>
                <w:szCs w:val="22"/>
              </w:rPr>
            </w:pPr>
            <w:r w:rsidRPr="008F4627">
              <w:rPr>
                <w:b/>
                <w:bCs/>
                <w:color w:val="001756"/>
                <w:sz w:val="22"/>
                <w:szCs w:val="22"/>
              </w:rPr>
              <w:t xml:space="preserve">In the US, the application has been resubmitted following </w:t>
            </w:r>
            <w:hyperlink r:id="rId11" w:anchor=":~:text=RARITAN%2C%20N.J.%2C%20December%2016%2C,human%20hyaluronidase%20for%20subcutaneous%20administration%20(" w:history="1">
              <w:r w:rsidR="00663C41" w:rsidRPr="00705262">
                <w:rPr>
                  <w:rStyle w:val="Hyperlink"/>
                  <w:b/>
                  <w:bCs/>
                  <w:sz w:val="22"/>
                  <w:szCs w:val="22"/>
                </w:rPr>
                <w:t>FDA Complete Response Letter</w:t>
              </w:r>
            </w:hyperlink>
            <w:r w:rsidR="00CF1BD2">
              <w:rPr>
                <w:b/>
                <w:bCs/>
                <w:color w:val="001756"/>
                <w:sz w:val="22"/>
                <w:szCs w:val="22"/>
              </w:rPr>
              <w:t xml:space="preserve"> </w:t>
            </w:r>
            <w:r w:rsidR="00705262">
              <w:rPr>
                <w:b/>
                <w:bCs/>
                <w:color w:val="001756"/>
                <w:sz w:val="22"/>
                <w:szCs w:val="22"/>
              </w:rPr>
              <w:t>in December, prompted by the</w:t>
            </w:r>
            <w:r w:rsidR="00CF1BD2">
              <w:rPr>
                <w:b/>
                <w:bCs/>
                <w:color w:val="001756"/>
                <w:sz w:val="22"/>
                <w:szCs w:val="22"/>
              </w:rPr>
              <w:t xml:space="preserve"> regulator’s </w:t>
            </w:r>
            <w:r w:rsidR="00705262">
              <w:rPr>
                <w:b/>
                <w:bCs/>
                <w:color w:val="001756"/>
                <w:sz w:val="22"/>
                <w:szCs w:val="22"/>
              </w:rPr>
              <w:t xml:space="preserve">inspection at a manufacturing facility. </w:t>
            </w:r>
            <w:r w:rsidR="00CF1BD2">
              <w:rPr>
                <w:b/>
                <w:bCs/>
                <w:color w:val="001756"/>
                <w:sz w:val="22"/>
                <w:szCs w:val="22"/>
              </w:rPr>
              <w:t>A</w:t>
            </w:r>
            <w:r w:rsidRPr="008F4627">
              <w:rPr>
                <w:b/>
                <w:bCs/>
                <w:color w:val="001756"/>
                <w:sz w:val="22"/>
                <w:szCs w:val="22"/>
              </w:rPr>
              <w:t>pproval is likely in 2025</w:t>
            </w:r>
            <w:r>
              <w:rPr>
                <w:b/>
                <w:bCs/>
                <w:color w:val="001756"/>
                <w:sz w:val="22"/>
                <w:szCs w:val="22"/>
              </w:rPr>
              <w:t xml:space="preserve">, but </w:t>
            </w:r>
            <w:proofErr w:type="spellStart"/>
            <w:r>
              <w:rPr>
                <w:b/>
                <w:bCs/>
                <w:color w:val="001756"/>
                <w:sz w:val="22"/>
                <w:szCs w:val="22"/>
              </w:rPr>
              <w:t>JnJ</w:t>
            </w:r>
            <w:proofErr w:type="spellEnd"/>
            <w:r w:rsidRPr="008F4627">
              <w:rPr>
                <w:b/>
                <w:bCs/>
                <w:color w:val="001756"/>
                <w:sz w:val="22"/>
                <w:szCs w:val="22"/>
              </w:rPr>
              <w:t xml:space="preserve"> has not provided guidance </w:t>
            </w:r>
            <w:r w:rsidR="00D955AD">
              <w:rPr>
                <w:b/>
                <w:bCs/>
                <w:color w:val="001756"/>
                <w:sz w:val="22"/>
                <w:szCs w:val="22"/>
              </w:rPr>
              <w:t>to confirm this</w:t>
            </w:r>
            <w:r w:rsidR="00252DAC" w:rsidRPr="000A2D20">
              <w:rPr>
                <w:rFonts w:eastAsiaTheme="minorHAnsi"/>
                <w:b/>
                <w:bCs/>
                <w:color w:val="001756"/>
                <w:sz w:val="22"/>
                <w:szCs w:val="22"/>
              </w:rPr>
              <w:br/>
            </w:r>
          </w:p>
          <w:p w14:paraId="023EB54E" w14:textId="2A209256" w:rsidR="00252DAC" w:rsidRDefault="008904A3" w:rsidP="00252DAC">
            <w:pPr>
              <w:pStyle w:val="ListParagraph"/>
              <w:numPr>
                <w:ilvl w:val="0"/>
                <w:numId w:val="17"/>
              </w:numPr>
              <w:spacing w:line="252" w:lineRule="auto"/>
              <w:rPr>
                <w:b/>
                <w:bCs/>
                <w:color w:val="001756"/>
                <w:sz w:val="22"/>
                <w:szCs w:val="22"/>
              </w:rPr>
            </w:pPr>
            <w:r>
              <w:rPr>
                <w:b/>
                <w:bCs/>
                <w:color w:val="001756"/>
                <w:sz w:val="22"/>
                <w:szCs w:val="22"/>
              </w:rPr>
              <w:t xml:space="preserve">EC approval is </w:t>
            </w:r>
            <w:r w:rsidR="00252DAC" w:rsidRPr="00012BDF">
              <w:rPr>
                <w:b/>
                <w:bCs/>
                <w:color w:val="001756"/>
                <w:sz w:val="22"/>
                <w:szCs w:val="22"/>
              </w:rPr>
              <w:t xml:space="preserve">based on the results from the P3 </w:t>
            </w:r>
            <w:hyperlink r:id="rId12" w:history="1">
              <w:r w:rsidR="00252DAC" w:rsidRPr="00012BDF">
                <w:rPr>
                  <w:rStyle w:val="Hyperlink"/>
                  <w:b/>
                  <w:bCs/>
                  <w:sz w:val="22"/>
                  <w:szCs w:val="22"/>
                </w:rPr>
                <w:t>PALOMA-3 trial</w:t>
              </w:r>
            </w:hyperlink>
            <w:r w:rsidR="00252DAC" w:rsidRPr="00012BDF">
              <w:rPr>
                <w:b/>
                <w:bCs/>
                <w:color w:val="001756"/>
                <w:sz w:val="22"/>
                <w:szCs w:val="22"/>
              </w:rPr>
              <w:t xml:space="preserve">, which demonstrated non-inferiority vs. IV </w:t>
            </w:r>
            <w:proofErr w:type="spellStart"/>
            <w:r w:rsidR="00252DAC" w:rsidRPr="00012BDF">
              <w:rPr>
                <w:b/>
                <w:bCs/>
                <w:color w:val="001756"/>
                <w:sz w:val="22"/>
                <w:szCs w:val="22"/>
              </w:rPr>
              <w:t>amivantamab</w:t>
            </w:r>
            <w:proofErr w:type="spellEnd"/>
            <w:r w:rsidR="00252DAC" w:rsidRPr="00012BDF">
              <w:rPr>
                <w:b/>
                <w:bCs/>
                <w:color w:val="001756"/>
                <w:sz w:val="22"/>
                <w:szCs w:val="22"/>
              </w:rPr>
              <w:t xml:space="preserve"> in combination with </w:t>
            </w:r>
            <w:proofErr w:type="spellStart"/>
            <w:r w:rsidR="00252DAC">
              <w:rPr>
                <w:b/>
                <w:bCs/>
                <w:color w:val="001756"/>
                <w:sz w:val="22"/>
                <w:szCs w:val="22"/>
              </w:rPr>
              <w:t>l</w:t>
            </w:r>
            <w:r w:rsidR="00252DAC" w:rsidRPr="00012BDF">
              <w:rPr>
                <w:b/>
                <w:bCs/>
                <w:color w:val="001756"/>
                <w:sz w:val="22"/>
                <w:szCs w:val="22"/>
              </w:rPr>
              <w:t>azertinib</w:t>
            </w:r>
            <w:proofErr w:type="spellEnd"/>
            <w:r w:rsidR="00252DAC" w:rsidRPr="00012BDF">
              <w:rPr>
                <w:b/>
                <w:bCs/>
                <w:color w:val="001756"/>
                <w:sz w:val="22"/>
                <w:szCs w:val="22"/>
              </w:rPr>
              <w:t xml:space="preserve"> in EGFRm patients after progression on </w:t>
            </w:r>
            <w:proofErr w:type="spellStart"/>
            <w:r w:rsidR="00252DAC" w:rsidRPr="00012BDF">
              <w:rPr>
                <w:b/>
                <w:bCs/>
                <w:color w:val="001756"/>
                <w:sz w:val="22"/>
                <w:szCs w:val="22"/>
              </w:rPr>
              <w:t>osimertinib</w:t>
            </w:r>
            <w:proofErr w:type="spellEnd"/>
            <w:r w:rsidR="00252DAC" w:rsidRPr="00012BDF">
              <w:rPr>
                <w:b/>
                <w:bCs/>
                <w:color w:val="001756"/>
                <w:sz w:val="22"/>
                <w:szCs w:val="22"/>
              </w:rPr>
              <w:t xml:space="preserve"> + chemo </w:t>
            </w:r>
          </w:p>
          <w:p w14:paraId="3ABE33F3" w14:textId="77777777" w:rsidR="00252DAC" w:rsidRPr="00146DEC" w:rsidRDefault="00252DAC" w:rsidP="00252DAC">
            <w:pPr>
              <w:pStyle w:val="ListParagraph"/>
              <w:numPr>
                <w:ilvl w:val="1"/>
                <w:numId w:val="17"/>
              </w:numPr>
              <w:spacing w:line="252" w:lineRule="auto"/>
              <w:rPr>
                <w:color w:val="001756"/>
                <w:sz w:val="22"/>
                <w:szCs w:val="22"/>
              </w:rPr>
            </w:pPr>
            <w:r w:rsidRPr="5D27085A">
              <w:rPr>
                <w:rFonts w:asciiTheme="minorHAnsi" w:eastAsiaTheme="minorEastAsia" w:hAnsiTheme="minorHAnsi" w:cstheme="minorBidi"/>
                <w:color w:val="001756"/>
                <w:sz w:val="22"/>
                <w:szCs w:val="22"/>
              </w:rPr>
              <w:t>SC f</w:t>
            </w:r>
            <w:r w:rsidRPr="00300FF3">
              <w:rPr>
                <w:color w:val="001756"/>
                <w:sz w:val="22"/>
                <w:szCs w:val="22"/>
              </w:rPr>
              <w:t xml:space="preserve">ormulation reduces administration time to five minutes (from five hours) and reduced infusion-related reactions </w:t>
            </w:r>
            <w:r>
              <w:rPr>
                <w:color w:val="001756"/>
                <w:sz w:val="22"/>
                <w:szCs w:val="22"/>
              </w:rPr>
              <w:t>(IRR) from 66% to 13% (</w:t>
            </w:r>
            <w:hyperlink r:id="rId13">
              <w:r w:rsidRPr="5D27085A">
                <w:rPr>
                  <w:rStyle w:val="Hyperlink"/>
                  <w:sz w:val="22"/>
                  <w:szCs w:val="22"/>
                </w:rPr>
                <w:t>ASCO 2024</w:t>
              </w:r>
            </w:hyperlink>
            <w:r>
              <w:rPr>
                <w:rStyle w:val="Hyperlink"/>
                <w:sz w:val="22"/>
                <w:szCs w:val="22"/>
              </w:rPr>
              <w:t>)</w:t>
            </w:r>
            <w:r w:rsidRPr="00146DEC">
              <w:rPr>
                <w:sz w:val="22"/>
                <w:szCs w:val="22"/>
              </w:rPr>
              <w:br/>
            </w:r>
          </w:p>
          <w:p w14:paraId="2DDBB71D" w14:textId="77777777" w:rsidR="00252DAC" w:rsidRPr="00954EB3" w:rsidRDefault="00252DAC" w:rsidP="00252DAC">
            <w:pPr>
              <w:pStyle w:val="ListParagraph"/>
              <w:numPr>
                <w:ilvl w:val="0"/>
                <w:numId w:val="17"/>
              </w:numPr>
              <w:spacing w:line="252" w:lineRule="auto"/>
              <w:rPr>
                <w:color w:val="001756"/>
                <w:sz w:val="22"/>
                <w:szCs w:val="22"/>
              </w:rPr>
            </w:pPr>
            <w:r w:rsidRPr="00723F6B">
              <w:rPr>
                <w:b/>
                <w:bCs/>
                <w:color w:val="001756"/>
                <w:sz w:val="22"/>
                <w:szCs w:val="22"/>
              </w:rPr>
              <w:t>Rapid s</w:t>
            </w:r>
            <w:r w:rsidRPr="00DB2813">
              <w:rPr>
                <w:b/>
                <w:color w:val="001756"/>
                <w:sz w:val="22"/>
                <w:szCs w:val="22"/>
              </w:rPr>
              <w:t>ubstitution of the IV for SC</w:t>
            </w:r>
            <w:r w:rsidRPr="00723F6B">
              <w:rPr>
                <w:b/>
                <w:bCs/>
                <w:color w:val="001756"/>
                <w:sz w:val="22"/>
                <w:szCs w:val="22"/>
              </w:rPr>
              <w:t xml:space="preserve"> is expected due to improved convenience and reduced IRR. Yet </w:t>
            </w:r>
            <w:proofErr w:type="gramStart"/>
            <w:r w:rsidRPr="00723F6B">
              <w:rPr>
                <w:b/>
                <w:bCs/>
                <w:color w:val="001756"/>
                <w:sz w:val="22"/>
                <w:szCs w:val="22"/>
              </w:rPr>
              <w:t>a number of</w:t>
            </w:r>
            <w:proofErr w:type="gramEnd"/>
            <w:r w:rsidRPr="00723F6B">
              <w:rPr>
                <w:b/>
                <w:bCs/>
                <w:color w:val="001756"/>
                <w:sz w:val="22"/>
                <w:szCs w:val="22"/>
              </w:rPr>
              <w:t xml:space="preserve"> </w:t>
            </w:r>
            <w:proofErr w:type="spellStart"/>
            <w:r w:rsidRPr="00723F6B">
              <w:rPr>
                <w:b/>
                <w:bCs/>
                <w:color w:val="001756"/>
                <w:sz w:val="22"/>
                <w:szCs w:val="22"/>
              </w:rPr>
              <w:t>amivantamab’s</w:t>
            </w:r>
            <w:proofErr w:type="spellEnd"/>
            <w:r w:rsidRPr="00723F6B">
              <w:rPr>
                <w:b/>
                <w:bCs/>
                <w:color w:val="001756"/>
                <w:sz w:val="22"/>
                <w:szCs w:val="22"/>
              </w:rPr>
              <w:t xml:space="preserve"> AEs will remain in the SC formulation </w:t>
            </w:r>
          </w:p>
          <w:p w14:paraId="610CA91A" w14:textId="77777777" w:rsidR="00252DAC" w:rsidRDefault="00252DAC" w:rsidP="00252DAC">
            <w:pPr>
              <w:pStyle w:val="ListParagraph"/>
              <w:numPr>
                <w:ilvl w:val="1"/>
                <w:numId w:val="17"/>
              </w:numPr>
              <w:spacing w:line="252" w:lineRule="auto"/>
              <w:rPr>
                <w:color w:val="001756"/>
                <w:sz w:val="22"/>
                <w:szCs w:val="22"/>
              </w:rPr>
            </w:pPr>
            <w:proofErr w:type="gramStart"/>
            <w:r>
              <w:rPr>
                <w:color w:val="001756"/>
                <w:sz w:val="22"/>
                <w:szCs w:val="22"/>
              </w:rPr>
              <w:t>Overall</w:t>
            </w:r>
            <w:proofErr w:type="gramEnd"/>
            <w:r>
              <w:rPr>
                <w:color w:val="001756"/>
                <w:sz w:val="22"/>
                <w:szCs w:val="22"/>
              </w:rPr>
              <w:t xml:space="preserve"> Gr≥3 TEAEs were similar in the IV and SC arms of PALOMA-3: 56% vs 52% and include rash (10% vs 13%), paronychia (1% vs 4%) and VTE (all grade 26% vs 17%, with reduced rates of </w:t>
            </w:r>
            <w:r w:rsidRPr="00172CC6">
              <w:rPr>
                <w:color w:val="001756"/>
                <w:sz w:val="22"/>
                <w:szCs w:val="22"/>
              </w:rPr>
              <w:t xml:space="preserve">Gr≥3 </w:t>
            </w:r>
            <w:r>
              <w:rPr>
                <w:color w:val="001756"/>
                <w:sz w:val="22"/>
                <w:szCs w:val="22"/>
              </w:rPr>
              <w:t xml:space="preserve">VTE in the SC arm </w:t>
            </w:r>
          </w:p>
          <w:p w14:paraId="3DC034EB" w14:textId="77777777" w:rsidR="00252DAC" w:rsidRPr="00723F6B" w:rsidRDefault="00252DAC" w:rsidP="00252DAC">
            <w:pPr>
              <w:pStyle w:val="ListParagraph"/>
              <w:spacing w:line="252" w:lineRule="auto"/>
              <w:ind w:left="1440"/>
              <w:rPr>
                <w:color w:val="001756"/>
                <w:sz w:val="22"/>
                <w:szCs w:val="22"/>
              </w:rPr>
            </w:pPr>
          </w:p>
          <w:p w14:paraId="11BAF97C" w14:textId="77777777" w:rsidR="00252DAC" w:rsidRPr="000332C5" w:rsidRDefault="00252DAC" w:rsidP="00252DAC">
            <w:pPr>
              <w:numPr>
                <w:ilvl w:val="0"/>
                <w:numId w:val="17"/>
              </w:numPr>
              <w:spacing w:line="252" w:lineRule="auto"/>
              <w:rPr>
                <w:b/>
                <w:bCs/>
                <w:color w:val="001756"/>
                <w:sz w:val="22"/>
                <w:szCs w:val="22"/>
              </w:rPr>
            </w:pPr>
            <w:r w:rsidRPr="000332C5">
              <w:rPr>
                <w:b/>
                <w:bCs/>
                <w:color w:val="001756"/>
                <w:sz w:val="22"/>
                <w:szCs w:val="22"/>
              </w:rPr>
              <w:t xml:space="preserve">J&amp;J’s </w:t>
            </w:r>
            <w:proofErr w:type="spellStart"/>
            <w:r w:rsidRPr="000332C5">
              <w:rPr>
                <w:b/>
                <w:bCs/>
                <w:color w:val="001756"/>
                <w:sz w:val="22"/>
                <w:szCs w:val="22"/>
              </w:rPr>
              <w:t>amivantamab</w:t>
            </w:r>
            <w:proofErr w:type="spellEnd"/>
            <w:r w:rsidRPr="000332C5">
              <w:rPr>
                <w:b/>
                <w:bCs/>
                <w:color w:val="001756"/>
                <w:sz w:val="22"/>
                <w:szCs w:val="22"/>
              </w:rPr>
              <w:t xml:space="preserve"> (</w:t>
            </w:r>
            <w:proofErr w:type="spellStart"/>
            <w:r w:rsidRPr="000332C5">
              <w:rPr>
                <w:b/>
                <w:bCs/>
                <w:color w:val="001756"/>
                <w:sz w:val="22"/>
                <w:szCs w:val="22"/>
              </w:rPr>
              <w:t>Rybrevant</w:t>
            </w:r>
            <w:proofErr w:type="spellEnd"/>
            <w:r w:rsidRPr="000332C5">
              <w:rPr>
                <w:b/>
                <w:bCs/>
                <w:color w:val="001756"/>
                <w:sz w:val="22"/>
                <w:szCs w:val="22"/>
              </w:rPr>
              <w:t xml:space="preserve">) is co-formulated with Halozyme’s recombinant human hyaluronidase (rHuPH20, </w:t>
            </w:r>
            <w:proofErr w:type="spellStart"/>
            <w:r w:rsidRPr="000332C5">
              <w:rPr>
                <w:b/>
                <w:bCs/>
                <w:color w:val="001756"/>
                <w:sz w:val="22"/>
                <w:szCs w:val="22"/>
              </w:rPr>
              <w:t>Enhanze</w:t>
            </w:r>
            <w:proofErr w:type="spellEnd"/>
            <w:r w:rsidRPr="000332C5">
              <w:rPr>
                <w:b/>
                <w:bCs/>
                <w:color w:val="001756"/>
                <w:sz w:val="22"/>
                <w:szCs w:val="22"/>
              </w:rPr>
              <w:t xml:space="preserve">) and is the first SC </w:t>
            </w:r>
            <w:proofErr w:type="spellStart"/>
            <w:r w:rsidRPr="000332C5">
              <w:rPr>
                <w:b/>
                <w:bCs/>
                <w:color w:val="001756"/>
                <w:sz w:val="22"/>
                <w:szCs w:val="22"/>
              </w:rPr>
              <w:t>bsAb</w:t>
            </w:r>
            <w:proofErr w:type="spellEnd"/>
            <w:r w:rsidRPr="000332C5">
              <w:rPr>
                <w:b/>
                <w:bCs/>
                <w:color w:val="001756"/>
                <w:sz w:val="22"/>
                <w:szCs w:val="22"/>
              </w:rPr>
              <w:t xml:space="preserve"> set for approval in NSCLC</w:t>
            </w:r>
          </w:p>
          <w:p w14:paraId="2FFCC4D6" w14:textId="77777777" w:rsidR="00AA0588" w:rsidRPr="00AA0588" w:rsidRDefault="00AA0588" w:rsidP="00AA0588">
            <w:pPr>
              <w:pStyle w:val="ListParagraph"/>
              <w:spacing w:line="252" w:lineRule="auto"/>
              <w:rPr>
                <w:color w:val="001756"/>
                <w:sz w:val="22"/>
                <w:szCs w:val="22"/>
              </w:rPr>
            </w:pPr>
          </w:p>
          <w:p w14:paraId="1D964D86" w14:textId="4816DBD8" w:rsidR="00252DAC" w:rsidRDefault="00252DAC" w:rsidP="00252DAC">
            <w:pPr>
              <w:pStyle w:val="ListParagraph"/>
              <w:numPr>
                <w:ilvl w:val="0"/>
                <w:numId w:val="17"/>
              </w:numPr>
              <w:spacing w:line="252" w:lineRule="auto"/>
              <w:rPr>
                <w:color w:val="001756"/>
                <w:sz w:val="22"/>
                <w:szCs w:val="22"/>
              </w:rPr>
            </w:pPr>
            <w:r w:rsidRPr="000332C5">
              <w:rPr>
                <w:rFonts w:eastAsiaTheme="minorHAnsi"/>
                <w:color w:val="001756"/>
                <w:sz w:val="22"/>
                <w:szCs w:val="22"/>
              </w:rPr>
              <w:t xml:space="preserve">BMS’ SC nivolumab (PD-1 </w:t>
            </w:r>
            <w:proofErr w:type="spellStart"/>
            <w:r w:rsidRPr="000332C5">
              <w:rPr>
                <w:rFonts w:eastAsiaTheme="minorHAnsi"/>
                <w:color w:val="001756"/>
                <w:sz w:val="22"/>
                <w:szCs w:val="22"/>
              </w:rPr>
              <w:t>mAb</w:t>
            </w:r>
            <w:proofErr w:type="spellEnd"/>
            <w:r w:rsidRPr="000332C5">
              <w:rPr>
                <w:rFonts w:eastAsiaTheme="minorHAnsi"/>
                <w:color w:val="001756"/>
                <w:sz w:val="22"/>
                <w:szCs w:val="22"/>
              </w:rPr>
              <w:t xml:space="preserve">) and Roche’s SC atezolizumab (PD-L1 </w:t>
            </w:r>
            <w:proofErr w:type="spellStart"/>
            <w:r w:rsidRPr="000332C5">
              <w:rPr>
                <w:rFonts w:eastAsiaTheme="minorHAnsi"/>
                <w:color w:val="001756"/>
                <w:sz w:val="22"/>
                <w:szCs w:val="22"/>
              </w:rPr>
              <w:t>mAb</w:t>
            </w:r>
            <w:proofErr w:type="spellEnd"/>
            <w:r w:rsidRPr="000332C5">
              <w:rPr>
                <w:rFonts w:eastAsiaTheme="minorHAnsi"/>
                <w:color w:val="001756"/>
                <w:sz w:val="22"/>
                <w:szCs w:val="22"/>
              </w:rPr>
              <w:t xml:space="preserve">), also rely on Halozyme’s technology and were approved by the FDA in 2H 2024. Merck’s SC pembrolizumab is expected to be approved in 2H 2025, following positive data released in 2024 with </w:t>
            </w:r>
            <w:proofErr w:type="spellStart"/>
            <w:r w:rsidRPr="000332C5">
              <w:rPr>
                <w:color w:val="001756"/>
                <w:sz w:val="22"/>
                <w:szCs w:val="22"/>
              </w:rPr>
              <w:t>Alteogen</w:t>
            </w:r>
            <w:r w:rsidRPr="000332C5">
              <w:rPr>
                <w:rFonts w:eastAsiaTheme="minorHAnsi"/>
                <w:color w:val="001756"/>
                <w:sz w:val="22"/>
                <w:szCs w:val="22"/>
              </w:rPr>
              <w:t>’s</w:t>
            </w:r>
            <w:proofErr w:type="spellEnd"/>
            <w:r w:rsidRPr="000332C5">
              <w:rPr>
                <w:color w:val="001756"/>
                <w:sz w:val="22"/>
                <w:szCs w:val="22"/>
              </w:rPr>
              <w:t xml:space="preserve"> hyaluronidase</w:t>
            </w:r>
          </w:p>
          <w:p w14:paraId="2E6C415D" w14:textId="213E0DA0" w:rsidR="002A6FA5" w:rsidRPr="00F35C9E" w:rsidRDefault="002A6FA5" w:rsidP="00F35C9E">
            <w:pPr>
              <w:spacing w:line="252" w:lineRule="auto"/>
              <w:rPr>
                <w:color w:val="001756"/>
                <w:sz w:val="22"/>
                <w:szCs w:val="22"/>
              </w:rPr>
            </w:pPr>
          </w:p>
        </w:tc>
      </w:tr>
      <w:tr w:rsidR="00CF1A93" w:rsidRPr="00452BFD" w14:paraId="237D0F76" w14:textId="77777777" w:rsidTr="007E3FD6">
        <w:tc>
          <w:tcPr>
            <w:tcW w:w="9350" w:type="dxa"/>
          </w:tcPr>
          <w:p w14:paraId="6E6E95FD" w14:textId="155CF949" w:rsidR="0092288D" w:rsidRPr="00452BFD" w:rsidRDefault="0092288D" w:rsidP="0092288D">
            <w:pPr>
              <w:spacing w:line="252" w:lineRule="auto"/>
              <w:rPr>
                <w:b/>
                <w:bCs/>
                <w:color w:val="091B46"/>
                <w:sz w:val="22"/>
                <w:szCs w:val="22"/>
              </w:rPr>
            </w:pPr>
          </w:p>
        </w:tc>
      </w:tr>
      <w:tr w:rsidR="00AC3027" w:rsidRPr="00452BFD" w14:paraId="112D49DE" w14:textId="77777777" w:rsidTr="00AC3027">
        <w:tc>
          <w:tcPr>
            <w:tcW w:w="9350" w:type="dxa"/>
          </w:tcPr>
          <w:p w14:paraId="4916F7CD" w14:textId="4C3C2008" w:rsidR="00AC3027" w:rsidRPr="00452BFD" w:rsidRDefault="00AC3027" w:rsidP="00960CF9">
            <w:pPr>
              <w:spacing w:line="252" w:lineRule="auto"/>
              <w:rPr>
                <w:sz w:val="22"/>
                <w:szCs w:val="22"/>
              </w:rPr>
            </w:pPr>
            <w:r w:rsidRPr="00452BFD">
              <w:rPr>
                <w:b/>
                <w:bCs/>
                <w:color w:val="091B46"/>
                <w:sz w:val="22"/>
                <w:szCs w:val="22"/>
              </w:rPr>
              <w:t xml:space="preserve">Disclaimer: </w:t>
            </w:r>
            <w:r w:rsidRPr="00452BFD">
              <w:rPr>
                <w:i/>
                <w:iCs/>
                <w:color w:val="000000"/>
                <w:sz w:val="22"/>
                <w:szCs w:val="22"/>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GMABI/MABI, Legal or Compliance (OEC) teams with any questions.</w:t>
            </w:r>
          </w:p>
        </w:tc>
      </w:tr>
    </w:tbl>
    <w:p w14:paraId="0EA23253" w14:textId="0CFABCB6" w:rsidR="00630AA2" w:rsidRPr="00452BFD" w:rsidRDefault="00630AA2">
      <w:pPr>
        <w:rPr>
          <w:sz w:val="22"/>
          <w:szCs w:val="22"/>
        </w:rPr>
      </w:pPr>
    </w:p>
    <w:p w14:paraId="05F04F19" w14:textId="77777777" w:rsidR="00452BFD" w:rsidRPr="00452BFD" w:rsidRDefault="00452BFD">
      <w:pPr>
        <w:rPr>
          <w:sz w:val="22"/>
          <w:szCs w:val="22"/>
        </w:rPr>
      </w:pPr>
    </w:p>
    <w:sectPr w:rsidR="00452BFD" w:rsidRPr="00452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82395"/>
    <w:multiLevelType w:val="multilevel"/>
    <w:tmpl w:val="A0B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3067"/>
    <w:multiLevelType w:val="hybridMultilevel"/>
    <w:tmpl w:val="244CC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47A49"/>
    <w:multiLevelType w:val="hybridMultilevel"/>
    <w:tmpl w:val="4010F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06FC4"/>
    <w:multiLevelType w:val="multilevel"/>
    <w:tmpl w:val="E2F2F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780A6E"/>
    <w:multiLevelType w:val="multilevel"/>
    <w:tmpl w:val="C39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12F4C"/>
    <w:multiLevelType w:val="multilevel"/>
    <w:tmpl w:val="8286D30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40B640BE"/>
    <w:multiLevelType w:val="hybridMultilevel"/>
    <w:tmpl w:val="E5C20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8B00B2"/>
    <w:multiLevelType w:val="hybridMultilevel"/>
    <w:tmpl w:val="A9325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E37A51"/>
    <w:multiLevelType w:val="multilevel"/>
    <w:tmpl w:val="95D8E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565BDC"/>
    <w:multiLevelType w:val="hybridMultilevel"/>
    <w:tmpl w:val="8B92D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ED86178"/>
    <w:multiLevelType w:val="hybridMultilevel"/>
    <w:tmpl w:val="25C41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C572B6"/>
    <w:multiLevelType w:val="hybridMultilevel"/>
    <w:tmpl w:val="FC889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0A319F"/>
    <w:multiLevelType w:val="hybridMultilevel"/>
    <w:tmpl w:val="B1BC0B52"/>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78EF3CD6"/>
    <w:multiLevelType w:val="hybridMultilevel"/>
    <w:tmpl w:val="4E4A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F3BB1"/>
    <w:multiLevelType w:val="hybridMultilevel"/>
    <w:tmpl w:val="9A2AEC9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F356E68"/>
    <w:multiLevelType w:val="hybridMultilevel"/>
    <w:tmpl w:val="B06A5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451885">
    <w:abstractNumId w:val="4"/>
  </w:num>
  <w:num w:numId="2" w16cid:durableId="149643648">
    <w:abstractNumId w:val="6"/>
  </w:num>
  <w:num w:numId="3" w16cid:durableId="209272648">
    <w:abstractNumId w:val="12"/>
  </w:num>
  <w:num w:numId="4" w16cid:durableId="555626048">
    <w:abstractNumId w:val="16"/>
  </w:num>
  <w:num w:numId="5" w16cid:durableId="1442145359">
    <w:abstractNumId w:val="14"/>
  </w:num>
  <w:num w:numId="6" w16cid:durableId="1048644897">
    <w:abstractNumId w:val="15"/>
  </w:num>
  <w:num w:numId="7" w16cid:durableId="1601331423">
    <w:abstractNumId w:val="5"/>
  </w:num>
  <w:num w:numId="8" w16cid:durableId="143358275">
    <w:abstractNumId w:val="7"/>
  </w:num>
  <w:num w:numId="9" w16cid:durableId="551422792">
    <w:abstractNumId w:val="13"/>
  </w:num>
  <w:num w:numId="10" w16cid:durableId="208960641">
    <w:abstractNumId w:val="9"/>
  </w:num>
  <w:num w:numId="11" w16cid:durableId="705837864">
    <w:abstractNumId w:val="0"/>
  </w:num>
  <w:num w:numId="12" w16cid:durableId="383480461">
    <w:abstractNumId w:val="1"/>
  </w:num>
  <w:num w:numId="13" w16cid:durableId="2054688924">
    <w:abstractNumId w:val="11"/>
  </w:num>
  <w:num w:numId="14" w16cid:durableId="2073386792">
    <w:abstractNumId w:val="10"/>
  </w:num>
  <w:num w:numId="15" w16cid:durableId="44835708">
    <w:abstractNumId w:val="2"/>
  </w:num>
  <w:num w:numId="16" w16cid:durableId="1202329090">
    <w:abstractNumId w:val="3"/>
  </w:num>
  <w:num w:numId="17" w16cid:durableId="1670600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6F"/>
    <w:rsid w:val="00004845"/>
    <w:rsid w:val="00012BDF"/>
    <w:rsid w:val="00016E6F"/>
    <w:rsid w:val="000422E9"/>
    <w:rsid w:val="00047412"/>
    <w:rsid w:val="000609FE"/>
    <w:rsid w:val="00061B6D"/>
    <w:rsid w:val="00071A43"/>
    <w:rsid w:val="000837F3"/>
    <w:rsid w:val="00091DA6"/>
    <w:rsid w:val="00094B1A"/>
    <w:rsid w:val="000A2D20"/>
    <w:rsid w:val="000C126A"/>
    <w:rsid w:val="000E1C61"/>
    <w:rsid w:val="00113D97"/>
    <w:rsid w:val="00122F5E"/>
    <w:rsid w:val="0012670D"/>
    <w:rsid w:val="00136A35"/>
    <w:rsid w:val="00166BB0"/>
    <w:rsid w:val="00167CEF"/>
    <w:rsid w:val="00170296"/>
    <w:rsid w:val="00171A05"/>
    <w:rsid w:val="00184ACF"/>
    <w:rsid w:val="00192502"/>
    <w:rsid w:val="001A3ACE"/>
    <w:rsid w:val="001D0C55"/>
    <w:rsid w:val="00206187"/>
    <w:rsid w:val="0021079D"/>
    <w:rsid w:val="00213FB7"/>
    <w:rsid w:val="00222526"/>
    <w:rsid w:val="00227485"/>
    <w:rsid w:val="002329C9"/>
    <w:rsid w:val="0024186E"/>
    <w:rsid w:val="00250453"/>
    <w:rsid w:val="00252053"/>
    <w:rsid w:val="00252DAC"/>
    <w:rsid w:val="002634B3"/>
    <w:rsid w:val="00263DF9"/>
    <w:rsid w:val="00265AA6"/>
    <w:rsid w:val="00290F63"/>
    <w:rsid w:val="00291F91"/>
    <w:rsid w:val="00294EB7"/>
    <w:rsid w:val="002A376D"/>
    <w:rsid w:val="002A6C6B"/>
    <w:rsid w:val="002A6FA5"/>
    <w:rsid w:val="002B7820"/>
    <w:rsid w:val="002C1BF1"/>
    <w:rsid w:val="002C587C"/>
    <w:rsid w:val="002D4710"/>
    <w:rsid w:val="002E4D62"/>
    <w:rsid w:val="002E6AF3"/>
    <w:rsid w:val="00300FF3"/>
    <w:rsid w:val="00311413"/>
    <w:rsid w:val="00312C04"/>
    <w:rsid w:val="00314494"/>
    <w:rsid w:val="00345541"/>
    <w:rsid w:val="003525F3"/>
    <w:rsid w:val="00357355"/>
    <w:rsid w:val="00363082"/>
    <w:rsid w:val="00365E5B"/>
    <w:rsid w:val="003834DB"/>
    <w:rsid w:val="00391DDF"/>
    <w:rsid w:val="0039522C"/>
    <w:rsid w:val="003B2384"/>
    <w:rsid w:val="003C49E7"/>
    <w:rsid w:val="003E43BF"/>
    <w:rsid w:val="00405A33"/>
    <w:rsid w:val="004120C0"/>
    <w:rsid w:val="0041505E"/>
    <w:rsid w:val="00415DE1"/>
    <w:rsid w:val="00423402"/>
    <w:rsid w:val="004319B3"/>
    <w:rsid w:val="0043792E"/>
    <w:rsid w:val="0044169F"/>
    <w:rsid w:val="00443DA4"/>
    <w:rsid w:val="00452BFD"/>
    <w:rsid w:val="00461F7F"/>
    <w:rsid w:val="00470CCA"/>
    <w:rsid w:val="004A0FC5"/>
    <w:rsid w:val="004B1411"/>
    <w:rsid w:val="004C0FA1"/>
    <w:rsid w:val="004C6166"/>
    <w:rsid w:val="004F4417"/>
    <w:rsid w:val="00506DB2"/>
    <w:rsid w:val="00522D54"/>
    <w:rsid w:val="00530378"/>
    <w:rsid w:val="00537BA4"/>
    <w:rsid w:val="00553D02"/>
    <w:rsid w:val="00560B6D"/>
    <w:rsid w:val="00562602"/>
    <w:rsid w:val="0059186E"/>
    <w:rsid w:val="005969F1"/>
    <w:rsid w:val="005C6D4E"/>
    <w:rsid w:val="005D4B45"/>
    <w:rsid w:val="005D5CC9"/>
    <w:rsid w:val="005E7926"/>
    <w:rsid w:val="0060025E"/>
    <w:rsid w:val="00602725"/>
    <w:rsid w:val="00607140"/>
    <w:rsid w:val="006251D0"/>
    <w:rsid w:val="006309DB"/>
    <w:rsid w:val="00630AA2"/>
    <w:rsid w:val="006406E8"/>
    <w:rsid w:val="00656FA3"/>
    <w:rsid w:val="00662D6A"/>
    <w:rsid w:val="00663C41"/>
    <w:rsid w:val="00665A8F"/>
    <w:rsid w:val="00666656"/>
    <w:rsid w:val="0067494C"/>
    <w:rsid w:val="0069537E"/>
    <w:rsid w:val="006A336F"/>
    <w:rsid w:val="006C2E75"/>
    <w:rsid w:val="006C3835"/>
    <w:rsid w:val="006C6E6A"/>
    <w:rsid w:val="006C792F"/>
    <w:rsid w:val="006D3CF8"/>
    <w:rsid w:val="007035B8"/>
    <w:rsid w:val="00705262"/>
    <w:rsid w:val="00715907"/>
    <w:rsid w:val="00736355"/>
    <w:rsid w:val="00740D78"/>
    <w:rsid w:val="0074324C"/>
    <w:rsid w:val="00762746"/>
    <w:rsid w:val="00777317"/>
    <w:rsid w:val="00782513"/>
    <w:rsid w:val="00784C6A"/>
    <w:rsid w:val="00793F13"/>
    <w:rsid w:val="00793FA7"/>
    <w:rsid w:val="007C501F"/>
    <w:rsid w:val="007E0B16"/>
    <w:rsid w:val="007E3FD6"/>
    <w:rsid w:val="007F16D1"/>
    <w:rsid w:val="007F203F"/>
    <w:rsid w:val="007F366F"/>
    <w:rsid w:val="00820D2B"/>
    <w:rsid w:val="00833CAD"/>
    <w:rsid w:val="0084507E"/>
    <w:rsid w:val="00874CD9"/>
    <w:rsid w:val="008904A3"/>
    <w:rsid w:val="008B74AB"/>
    <w:rsid w:val="008C0CEF"/>
    <w:rsid w:val="008C2737"/>
    <w:rsid w:val="008C4731"/>
    <w:rsid w:val="008C60A0"/>
    <w:rsid w:val="008C6827"/>
    <w:rsid w:val="008D663C"/>
    <w:rsid w:val="008F4627"/>
    <w:rsid w:val="00921AF2"/>
    <w:rsid w:val="0092288D"/>
    <w:rsid w:val="009308D0"/>
    <w:rsid w:val="0096043A"/>
    <w:rsid w:val="0096345F"/>
    <w:rsid w:val="009765D2"/>
    <w:rsid w:val="0098328D"/>
    <w:rsid w:val="00985B61"/>
    <w:rsid w:val="009868A9"/>
    <w:rsid w:val="009943B4"/>
    <w:rsid w:val="00996200"/>
    <w:rsid w:val="009975D4"/>
    <w:rsid w:val="00997B67"/>
    <w:rsid w:val="009C04D8"/>
    <w:rsid w:val="009D3552"/>
    <w:rsid w:val="009F0879"/>
    <w:rsid w:val="009F5DEA"/>
    <w:rsid w:val="00A06838"/>
    <w:rsid w:val="00A174AB"/>
    <w:rsid w:val="00A22F72"/>
    <w:rsid w:val="00A26343"/>
    <w:rsid w:val="00A4263A"/>
    <w:rsid w:val="00A43CBB"/>
    <w:rsid w:val="00A44714"/>
    <w:rsid w:val="00A479AA"/>
    <w:rsid w:val="00A60516"/>
    <w:rsid w:val="00A61B37"/>
    <w:rsid w:val="00A65D8B"/>
    <w:rsid w:val="00A94A4B"/>
    <w:rsid w:val="00AA0588"/>
    <w:rsid w:val="00AB1C13"/>
    <w:rsid w:val="00AC3027"/>
    <w:rsid w:val="00AE0475"/>
    <w:rsid w:val="00AF6450"/>
    <w:rsid w:val="00B14FC2"/>
    <w:rsid w:val="00B246BB"/>
    <w:rsid w:val="00B345C7"/>
    <w:rsid w:val="00B81C07"/>
    <w:rsid w:val="00B92800"/>
    <w:rsid w:val="00BA296B"/>
    <w:rsid w:val="00BA44AF"/>
    <w:rsid w:val="00BC0485"/>
    <w:rsid w:val="00BC7A7D"/>
    <w:rsid w:val="00BF7414"/>
    <w:rsid w:val="00C01FF7"/>
    <w:rsid w:val="00C13CF4"/>
    <w:rsid w:val="00C2460E"/>
    <w:rsid w:val="00C521E7"/>
    <w:rsid w:val="00C535B2"/>
    <w:rsid w:val="00CB1DD0"/>
    <w:rsid w:val="00CB2343"/>
    <w:rsid w:val="00CC22D9"/>
    <w:rsid w:val="00CC77E8"/>
    <w:rsid w:val="00CD2168"/>
    <w:rsid w:val="00CD4905"/>
    <w:rsid w:val="00CF1A93"/>
    <w:rsid w:val="00CF1BD2"/>
    <w:rsid w:val="00D16B18"/>
    <w:rsid w:val="00D1708B"/>
    <w:rsid w:val="00D17C15"/>
    <w:rsid w:val="00D209EF"/>
    <w:rsid w:val="00D2374C"/>
    <w:rsid w:val="00D26302"/>
    <w:rsid w:val="00D457FD"/>
    <w:rsid w:val="00D536F2"/>
    <w:rsid w:val="00D54DFE"/>
    <w:rsid w:val="00D631D8"/>
    <w:rsid w:val="00D65607"/>
    <w:rsid w:val="00D71585"/>
    <w:rsid w:val="00D76DAE"/>
    <w:rsid w:val="00D8204B"/>
    <w:rsid w:val="00D955AD"/>
    <w:rsid w:val="00DB05F7"/>
    <w:rsid w:val="00DB2E9F"/>
    <w:rsid w:val="00DB6AF5"/>
    <w:rsid w:val="00DC5A86"/>
    <w:rsid w:val="00DD268D"/>
    <w:rsid w:val="00DF6E0D"/>
    <w:rsid w:val="00E54498"/>
    <w:rsid w:val="00E674F0"/>
    <w:rsid w:val="00E91700"/>
    <w:rsid w:val="00EB62A3"/>
    <w:rsid w:val="00ED2A9D"/>
    <w:rsid w:val="00EE2E36"/>
    <w:rsid w:val="00EF6981"/>
    <w:rsid w:val="00F0209C"/>
    <w:rsid w:val="00F03FBE"/>
    <w:rsid w:val="00F06853"/>
    <w:rsid w:val="00F303EA"/>
    <w:rsid w:val="00F304F4"/>
    <w:rsid w:val="00F35C9E"/>
    <w:rsid w:val="00F56EF9"/>
    <w:rsid w:val="00F74E8A"/>
    <w:rsid w:val="00F853FE"/>
    <w:rsid w:val="00FA1F0D"/>
    <w:rsid w:val="00FB5A25"/>
    <w:rsid w:val="00FD23DB"/>
    <w:rsid w:val="00FE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EFE2"/>
  <w15:chartTrackingRefBased/>
  <w15:docId w15:val="{89A9967E-43B2-574D-A315-80FDDE80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0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043A"/>
    <w:rPr>
      <w:color w:val="0563C1"/>
      <w:u w:val="single"/>
    </w:rPr>
  </w:style>
  <w:style w:type="paragraph" w:styleId="ListParagraph">
    <w:name w:val="List Paragraph"/>
    <w:basedOn w:val="Normal"/>
    <w:uiPriority w:val="34"/>
    <w:qFormat/>
    <w:rsid w:val="0096043A"/>
    <w:pPr>
      <w:ind w:left="720"/>
    </w:pPr>
    <w:rPr>
      <w:rFonts w:ascii="Calibri" w:eastAsia="Times New Roman" w:hAnsi="Calibri" w:cs="Calibri"/>
      <w:kern w:val="0"/>
      <w14:ligatures w14:val="none"/>
    </w:rPr>
  </w:style>
  <w:style w:type="character" w:styleId="FollowedHyperlink">
    <w:name w:val="FollowedHyperlink"/>
    <w:basedOn w:val="DefaultParagraphFont"/>
    <w:uiPriority w:val="99"/>
    <w:semiHidden/>
    <w:unhideWhenUsed/>
    <w:rsid w:val="00405A33"/>
    <w:rPr>
      <w:color w:val="954F72" w:themeColor="followedHyperlink"/>
      <w:u w:val="single"/>
    </w:rPr>
  </w:style>
  <w:style w:type="character" w:styleId="UnresolvedMention">
    <w:name w:val="Unresolved Mention"/>
    <w:basedOn w:val="DefaultParagraphFont"/>
    <w:uiPriority w:val="99"/>
    <w:semiHidden/>
    <w:unhideWhenUsed/>
    <w:rsid w:val="0043792E"/>
    <w:rPr>
      <w:color w:val="605E5C"/>
      <w:shd w:val="clear" w:color="auto" w:fill="E1DFDD"/>
    </w:rPr>
  </w:style>
  <w:style w:type="character" w:styleId="CommentReference">
    <w:name w:val="annotation reference"/>
    <w:basedOn w:val="DefaultParagraphFont"/>
    <w:uiPriority w:val="99"/>
    <w:semiHidden/>
    <w:unhideWhenUsed/>
    <w:rsid w:val="009F0879"/>
    <w:rPr>
      <w:sz w:val="16"/>
      <w:szCs w:val="16"/>
    </w:rPr>
  </w:style>
  <w:style w:type="paragraph" w:styleId="CommentText">
    <w:name w:val="annotation text"/>
    <w:basedOn w:val="Normal"/>
    <w:link w:val="CommentTextChar"/>
    <w:uiPriority w:val="99"/>
    <w:semiHidden/>
    <w:unhideWhenUsed/>
    <w:rsid w:val="009F0879"/>
    <w:rPr>
      <w:sz w:val="20"/>
      <w:szCs w:val="20"/>
    </w:rPr>
  </w:style>
  <w:style w:type="character" w:customStyle="1" w:styleId="CommentTextChar">
    <w:name w:val="Comment Text Char"/>
    <w:basedOn w:val="DefaultParagraphFont"/>
    <w:link w:val="CommentText"/>
    <w:uiPriority w:val="99"/>
    <w:semiHidden/>
    <w:rsid w:val="009F0879"/>
    <w:rPr>
      <w:sz w:val="20"/>
      <w:szCs w:val="20"/>
    </w:rPr>
  </w:style>
  <w:style w:type="paragraph" w:styleId="CommentSubject">
    <w:name w:val="annotation subject"/>
    <w:basedOn w:val="CommentText"/>
    <w:next w:val="CommentText"/>
    <w:link w:val="CommentSubjectChar"/>
    <w:uiPriority w:val="99"/>
    <w:semiHidden/>
    <w:unhideWhenUsed/>
    <w:rsid w:val="009F0879"/>
    <w:rPr>
      <w:b/>
      <w:bCs/>
    </w:rPr>
  </w:style>
  <w:style w:type="character" w:customStyle="1" w:styleId="CommentSubjectChar">
    <w:name w:val="Comment Subject Char"/>
    <w:basedOn w:val="CommentTextChar"/>
    <w:link w:val="CommentSubject"/>
    <w:uiPriority w:val="99"/>
    <w:semiHidden/>
    <w:rsid w:val="009F0879"/>
    <w:rPr>
      <w:b/>
      <w:bCs/>
      <w:sz w:val="20"/>
      <w:szCs w:val="20"/>
    </w:rPr>
  </w:style>
  <w:style w:type="paragraph" w:styleId="NormalWeb">
    <w:name w:val="Normal (Web)"/>
    <w:basedOn w:val="Normal"/>
    <w:uiPriority w:val="99"/>
    <w:semiHidden/>
    <w:unhideWhenUsed/>
    <w:rsid w:val="00C521E7"/>
    <w:pPr>
      <w:spacing w:before="100" w:beforeAutospacing="1" w:after="100" w:afterAutospacing="1"/>
    </w:pPr>
    <w:rPr>
      <w:rFonts w:ascii="Times New Roman" w:eastAsia="Times New Roman" w:hAnsi="Times New Roman" w:cs="Times New Roman"/>
      <w:kern w:val="0"/>
      <w14:ligatures w14:val="none"/>
    </w:rPr>
  </w:style>
  <w:style w:type="table" w:styleId="ListTable3-Accent1">
    <w:name w:val="List Table 3 Accent 1"/>
    <w:basedOn w:val="TableNormal"/>
    <w:uiPriority w:val="48"/>
    <w:rsid w:val="004C6166"/>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apple-converted-space">
    <w:name w:val="apple-converted-space"/>
    <w:basedOn w:val="DefaultParagraphFont"/>
    <w:rsid w:val="00AC3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43363">
      <w:bodyDiv w:val="1"/>
      <w:marLeft w:val="0"/>
      <w:marRight w:val="0"/>
      <w:marTop w:val="0"/>
      <w:marBottom w:val="0"/>
      <w:divBdr>
        <w:top w:val="none" w:sz="0" w:space="0" w:color="auto"/>
        <w:left w:val="none" w:sz="0" w:space="0" w:color="auto"/>
        <w:bottom w:val="none" w:sz="0" w:space="0" w:color="auto"/>
        <w:right w:val="none" w:sz="0" w:space="0" w:color="auto"/>
      </w:divBdr>
    </w:div>
    <w:div w:id="508104672">
      <w:bodyDiv w:val="1"/>
      <w:marLeft w:val="0"/>
      <w:marRight w:val="0"/>
      <w:marTop w:val="0"/>
      <w:marBottom w:val="0"/>
      <w:divBdr>
        <w:top w:val="none" w:sz="0" w:space="0" w:color="auto"/>
        <w:left w:val="none" w:sz="0" w:space="0" w:color="auto"/>
        <w:bottom w:val="none" w:sz="0" w:space="0" w:color="auto"/>
        <w:right w:val="none" w:sz="0" w:space="0" w:color="auto"/>
      </w:divBdr>
    </w:div>
    <w:div w:id="527527280">
      <w:bodyDiv w:val="1"/>
      <w:marLeft w:val="0"/>
      <w:marRight w:val="0"/>
      <w:marTop w:val="0"/>
      <w:marBottom w:val="0"/>
      <w:divBdr>
        <w:top w:val="none" w:sz="0" w:space="0" w:color="auto"/>
        <w:left w:val="none" w:sz="0" w:space="0" w:color="auto"/>
        <w:bottom w:val="none" w:sz="0" w:space="0" w:color="auto"/>
        <w:right w:val="none" w:sz="0" w:space="0" w:color="auto"/>
      </w:divBdr>
    </w:div>
    <w:div w:id="672953486">
      <w:bodyDiv w:val="1"/>
      <w:marLeft w:val="0"/>
      <w:marRight w:val="0"/>
      <w:marTop w:val="0"/>
      <w:marBottom w:val="0"/>
      <w:divBdr>
        <w:top w:val="none" w:sz="0" w:space="0" w:color="auto"/>
        <w:left w:val="none" w:sz="0" w:space="0" w:color="auto"/>
        <w:bottom w:val="none" w:sz="0" w:space="0" w:color="auto"/>
        <w:right w:val="none" w:sz="0" w:space="0" w:color="auto"/>
      </w:divBdr>
    </w:div>
    <w:div w:id="757216140">
      <w:bodyDiv w:val="1"/>
      <w:marLeft w:val="0"/>
      <w:marRight w:val="0"/>
      <w:marTop w:val="0"/>
      <w:marBottom w:val="0"/>
      <w:divBdr>
        <w:top w:val="none" w:sz="0" w:space="0" w:color="auto"/>
        <w:left w:val="none" w:sz="0" w:space="0" w:color="auto"/>
        <w:bottom w:val="none" w:sz="0" w:space="0" w:color="auto"/>
        <w:right w:val="none" w:sz="0" w:space="0" w:color="auto"/>
      </w:divBdr>
    </w:div>
    <w:div w:id="857617506">
      <w:bodyDiv w:val="1"/>
      <w:marLeft w:val="0"/>
      <w:marRight w:val="0"/>
      <w:marTop w:val="0"/>
      <w:marBottom w:val="0"/>
      <w:divBdr>
        <w:top w:val="none" w:sz="0" w:space="0" w:color="auto"/>
        <w:left w:val="none" w:sz="0" w:space="0" w:color="auto"/>
        <w:bottom w:val="none" w:sz="0" w:space="0" w:color="auto"/>
        <w:right w:val="none" w:sz="0" w:space="0" w:color="auto"/>
      </w:divBdr>
    </w:div>
    <w:div w:id="1058239387">
      <w:bodyDiv w:val="1"/>
      <w:marLeft w:val="0"/>
      <w:marRight w:val="0"/>
      <w:marTop w:val="0"/>
      <w:marBottom w:val="0"/>
      <w:divBdr>
        <w:top w:val="none" w:sz="0" w:space="0" w:color="auto"/>
        <w:left w:val="none" w:sz="0" w:space="0" w:color="auto"/>
        <w:bottom w:val="none" w:sz="0" w:space="0" w:color="auto"/>
        <w:right w:val="none" w:sz="0" w:space="0" w:color="auto"/>
      </w:divBdr>
    </w:div>
    <w:div w:id="1128747081">
      <w:bodyDiv w:val="1"/>
      <w:marLeft w:val="0"/>
      <w:marRight w:val="0"/>
      <w:marTop w:val="0"/>
      <w:marBottom w:val="0"/>
      <w:divBdr>
        <w:top w:val="none" w:sz="0" w:space="0" w:color="auto"/>
        <w:left w:val="none" w:sz="0" w:space="0" w:color="auto"/>
        <w:bottom w:val="none" w:sz="0" w:space="0" w:color="auto"/>
        <w:right w:val="none" w:sz="0" w:space="0" w:color="auto"/>
      </w:divBdr>
    </w:div>
    <w:div w:id="1135950326">
      <w:bodyDiv w:val="1"/>
      <w:marLeft w:val="0"/>
      <w:marRight w:val="0"/>
      <w:marTop w:val="0"/>
      <w:marBottom w:val="0"/>
      <w:divBdr>
        <w:top w:val="none" w:sz="0" w:space="0" w:color="auto"/>
        <w:left w:val="none" w:sz="0" w:space="0" w:color="auto"/>
        <w:bottom w:val="none" w:sz="0" w:space="0" w:color="auto"/>
        <w:right w:val="none" w:sz="0" w:space="0" w:color="auto"/>
      </w:divBdr>
    </w:div>
    <w:div w:id="1427848951">
      <w:bodyDiv w:val="1"/>
      <w:marLeft w:val="0"/>
      <w:marRight w:val="0"/>
      <w:marTop w:val="0"/>
      <w:marBottom w:val="0"/>
      <w:divBdr>
        <w:top w:val="none" w:sz="0" w:space="0" w:color="auto"/>
        <w:left w:val="none" w:sz="0" w:space="0" w:color="auto"/>
        <w:bottom w:val="none" w:sz="0" w:space="0" w:color="auto"/>
        <w:right w:val="none" w:sz="0" w:space="0" w:color="auto"/>
      </w:divBdr>
    </w:div>
    <w:div w:id="179158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scopubs.org/doi/10.1200/JCO.24.0100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linicaltrials.gov/study/NCT0538866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nj.com/media-center/press-releases/update-on-u-s-regulatory-review-of-subcutaneous-amivantamab"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jnj.com/media-center/press-releases/european-commission-approves-subcutaneous-rybrevant-amivantamab-for-the-treatment-of-patients-with-advanced-egfr-mutated-non-small-cell-lung-cancer" TargetMode="External"/><Relationship Id="rId4" Type="http://schemas.openxmlformats.org/officeDocument/2006/relationships/numbering" Target="numbering.xml"/><Relationship Id="rId9" Type="http://schemas.openxmlformats.org/officeDocument/2006/relationships/image" Target="cid:image001.jpg@01DA7F8A.D33AEE4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CE8BC269E49047AC4189033AAA57A3" ma:contentTypeVersion="20" ma:contentTypeDescription="Create a new document." ma:contentTypeScope="" ma:versionID="8896ff2df6b79f88ae63dd2203c082d0">
  <xsd:schema xmlns:xsd="http://www.w3.org/2001/XMLSchema" xmlns:xs="http://www.w3.org/2001/XMLSchema" xmlns:p="http://schemas.microsoft.com/office/2006/metadata/properties" xmlns:ns2="39fedafa-5d4b-4b53-a4b0-09c22e24986c" xmlns:ns3="c181a9bc-3009-49f3-87b5-3c5d59e5a8cd" targetNamespace="http://schemas.microsoft.com/office/2006/metadata/properties" ma:root="true" ma:fieldsID="533f370c77e2c27d677819900e503027" ns2:_="" ns3:_="">
    <xsd:import namespace="39fedafa-5d4b-4b53-a4b0-09c22e24986c"/>
    <xsd:import namespace="c181a9bc-3009-49f3-87b5-3c5d59e5a8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bjectDetectorVersions" minOccurs="0"/>
                <xsd:element ref="ns3:MediaServiceLocation" minOccurs="0"/>
                <xsd:element ref="ns3:MediaServiceSearchProperties" minOccurs="0"/>
                <xsd:element ref="ns3:MediaLengthInSeconds" minOccurs="0"/>
                <xsd:element ref="ns3:DateModified" minOccurs="0"/>
                <xsd:element ref="ns3:Date_x0020_Modified_x002a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edafa-5d4b-4b53-a4b0-09c22e2498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95269c-23ee-441e-a3b4-e4815b8dd5f8}" ma:internalName="TaxCatchAll" ma:showField="CatchAllData" ma:web="39fedafa-5d4b-4b53-a4b0-09c22e2498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81a9bc-3009-49f3-87b5-3c5d59e5a8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DateModified" ma:index="25" nillable="true" ma:displayName="Date Modified" ma:format="DateOnly" ma:internalName="DateModified">
      <xsd:simpleType>
        <xsd:restriction base="dms:DateTime"/>
      </xsd:simpleType>
    </xsd:element>
    <xsd:element name="Date_x0020_Modified_x002a_" ma:index="26" nillable="true" ma:displayName="Date Modified*" ma:format="DateOnly" ma:internalName="Date_x0020_Modified_x002a_">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_x0020_Modified_x002a_ xmlns="c181a9bc-3009-49f3-87b5-3c5d59e5a8cd" xsi:nil="true"/>
    <DateModified xmlns="c181a9bc-3009-49f3-87b5-3c5d59e5a8cd" xsi:nil="true"/>
    <lcf76f155ced4ddcb4097134ff3c332f xmlns="c181a9bc-3009-49f3-87b5-3c5d59e5a8cd">
      <Terms xmlns="http://schemas.microsoft.com/office/infopath/2007/PartnerControls"/>
    </lcf76f155ced4ddcb4097134ff3c332f>
    <TaxCatchAll xmlns="39fedafa-5d4b-4b53-a4b0-09c22e24986c" xsi:nil="true"/>
  </documentManagement>
</p:properties>
</file>

<file path=customXml/itemProps1.xml><?xml version="1.0" encoding="utf-8"?>
<ds:datastoreItem xmlns:ds="http://schemas.openxmlformats.org/officeDocument/2006/customXml" ds:itemID="{BB43F0CC-E99E-41B3-862F-F7D024249D96}">
  <ds:schemaRefs>
    <ds:schemaRef ds:uri="http://schemas.microsoft.com/sharepoint/v3/contenttype/forms"/>
  </ds:schemaRefs>
</ds:datastoreItem>
</file>

<file path=customXml/itemProps2.xml><?xml version="1.0" encoding="utf-8"?>
<ds:datastoreItem xmlns:ds="http://schemas.openxmlformats.org/officeDocument/2006/customXml" ds:itemID="{73D300E1-FCDB-429F-9BD7-4949C1D6CC0A}"/>
</file>

<file path=customXml/itemProps3.xml><?xml version="1.0" encoding="utf-8"?>
<ds:datastoreItem xmlns:ds="http://schemas.openxmlformats.org/officeDocument/2006/customXml" ds:itemID="{F21888DB-D4E4-4894-B1C2-6D53B02AC704}">
  <ds:schemaRefs>
    <ds:schemaRef ds:uri="http://schemas.openxmlformats.org/package/2006/metadata/core-properties"/>
    <ds:schemaRef ds:uri="http://www.w3.org/XML/1998/namespace"/>
    <ds:schemaRef ds:uri="http://schemas.microsoft.com/office/infopath/2007/PartnerControls"/>
    <ds:schemaRef ds:uri="http://purl.org/dc/terms/"/>
    <ds:schemaRef ds:uri="http://schemas.microsoft.com/office/2006/documentManagement/types"/>
    <ds:schemaRef ds:uri="1e3b51ad-8b26-4643-8436-07947209bc12"/>
    <ds:schemaRef ds:uri="75f0410d-776c-4ead-a371-a12a491d997a"/>
    <ds:schemaRef ds:uri="http://purl.org/dc/elements/1.1/"/>
    <ds:schemaRef ds:uri="043e1017-c5a4-4201-a35d-9d1168f65886"/>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Anchor Point Insights</dc:creator>
  <cp:keywords/>
  <dc:description/>
  <cp:lastModifiedBy>Hohenberg, Kate W</cp:lastModifiedBy>
  <cp:revision>23</cp:revision>
  <dcterms:created xsi:type="dcterms:W3CDTF">2025-04-09T15:32:00Z</dcterms:created>
  <dcterms:modified xsi:type="dcterms:W3CDTF">2025-04-09T15:52:00Z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0x010100FECE8BC269E49047AC4189033AAA57A3</vt:lpwstr>
  </property>
  <property fmtid="{D5CDD505-2E9C-101B-9397-08002B2CF9AE}" pid="3" name="MediaServiceImageTags">
    <vt:lpwstr/>
  </property>
</Properties>
</file>