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2B1AA" w14:textId="77777777" w:rsidR="00E8748B" w:rsidRPr="00E8748B" w:rsidRDefault="00E8748B" w:rsidP="00E8748B">
      <w:pPr>
        <w:spacing w:after="0" w:line="240" w:lineRule="auto"/>
        <w:rPr>
          <w:rFonts w:ascii="Calibri" w:eastAsia="Aptos" w:hAnsi="Calibri" w:cs="Calibri"/>
          <w:kern w:val="0"/>
          <w:sz w:val="24"/>
          <w:szCs w:val="24"/>
        </w:rPr>
      </w:pPr>
    </w:p>
    <w:p w14:paraId="32E6C6BD" w14:textId="77777777" w:rsidR="00E8748B" w:rsidRPr="00E8748B" w:rsidRDefault="00E8748B" w:rsidP="00E8748B">
      <w:pPr>
        <w:spacing w:after="0" w:line="240" w:lineRule="auto"/>
        <w:rPr>
          <w:rFonts w:ascii="Calibri" w:eastAsia="Aptos" w:hAnsi="Calibri" w:cs="Calibri"/>
          <w:kern w:val="0"/>
          <w:sz w:val="24"/>
          <w:szCs w:val="24"/>
        </w:rPr>
      </w:pPr>
      <w:r w:rsidRPr="00E8748B">
        <w:rPr>
          <w:rFonts w:ascii="Calibri" w:eastAsia="Aptos" w:hAnsi="Calibri" w:cs="Calibri"/>
          <w:noProof/>
          <w:kern w:val="0"/>
          <w:sz w:val="24"/>
          <w:szCs w:val="24"/>
          <w14:ligatures w14:val="none"/>
        </w:rPr>
        <w:drawing>
          <wp:inline distT="0" distB="0" distL="0" distR="0" wp14:anchorId="79FABCC4" wp14:editId="0F6A4EDE">
            <wp:extent cx="5943600" cy="1095375"/>
            <wp:effectExtent l="0" t="0" r="0" b="9525"/>
            <wp:docPr id="3" name="Picture 1043102006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3102006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0"/>
      </w:tblGrid>
      <w:tr w:rsidR="00E8748B" w:rsidRPr="00E8748B" w14:paraId="22A1245A" w14:textId="77777777" w:rsidTr="00E8748B">
        <w:tc>
          <w:tcPr>
            <w:tcW w:w="9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2FD6D" w14:textId="77777777" w:rsidR="00E8748B" w:rsidRPr="00E8748B" w:rsidRDefault="00E8748B" w:rsidP="00E8748B">
            <w:pPr>
              <w:spacing w:after="0" w:line="240" w:lineRule="auto"/>
              <w:rPr>
                <w:rFonts w:ascii="Calibri" w:eastAsia="Aptos" w:hAnsi="Calibri" w:cs="Calibri"/>
                <w:kern w:val="0"/>
                <w:sz w:val="24"/>
                <w:szCs w:val="24"/>
              </w:rPr>
            </w:pPr>
          </w:p>
        </w:tc>
      </w:tr>
      <w:tr w:rsidR="00E8748B" w:rsidRPr="00E8748B" w14:paraId="4B6EF005" w14:textId="77777777" w:rsidTr="00E8748B">
        <w:tc>
          <w:tcPr>
            <w:tcW w:w="9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C5DCD" w14:textId="77777777" w:rsidR="00E8748B" w:rsidRPr="00E8748B" w:rsidRDefault="00E8748B" w:rsidP="00E8748B">
            <w:pPr>
              <w:spacing w:after="0" w:line="240" w:lineRule="auto"/>
              <w:rPr>
                <w:rFonts w:ascii="Calibri" w:eastAsia="Aptos" w:hAnsi="Calibri" w:cs="Calibri"/>
                <w:kern w:val="0"/>
                <w:sz w:val="24"/>
                <w:szCs w:val="24"/>
              </w:rPr>
            </w:pPr>
          </w:p>
          <w:p w14:paraId="5EA7316D" w14:textId="77777777" w:rsidR="00E8748B" w:rsidRPr="00E8748B" w:rsidRDefault="00E8748B" w:rsidP="00E8748B">
            <w:pPr>
              <w:spacing w:after="0" w:line="240" w:lineRule="auto"/>
              <w:rPr>
                <w:rFonts w:ascii="Calibri" w:eastAsia="Aptos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Aptos" w:hAnsi="Calibri" w:cs="Calibri"/>
                <w:b/>
                <w:bCs/>
                <w:kern w:val="0"/>
                <w:sz w:val="24"/>
                <w:szCs w:val="24"/>
              </w:rPr>
              <w:t xml:space="preserve">Amgen announces statistical improvement in OS in 2L+ SCLC pts treated with </w:t>
            </w:r>
            <w:proofErr w:type="spellStart"/>
            <w:r w:rsidRPr="00E8748B">
              <w:rPr>
                <w:rFonts w:ascii="Calibri" w:eastAsia="Aptos" w:hAnsi="Calibri" w:cs="Calibri"/>
                <w:b/>
                <w:bCs/>
                <w:kern w:val="0"/>
                <w:sz w:val="24"/>
                <w:szCs w:val="24"/>
              </w:rPr>
              <w:t>Imdelltra</w:t>
            </w:r>
            <w:proofErr w:type="spellEnd"/>
            <w:r w:rsidRPr="00E8748B">
              <w:rPr>
                <w:rFonts w:ascii="Calibri" w:eastAsia="Aptos" w:hAnsi="Calibri" w:cs="Calibri"/>
                <w:b/>
                <w:bCs/>
                <w:kern w:val="0"/>
                <w:sz w:val="24"/>
                <w:szCs w:val="24"/>
              </w:rPr>
              <w:t xml:space="preserve"> (</w:t>
            </w:r>
            <w:proofErr w:type="spellStart"/>
            <w:r w:rsidRPr="00E8748B">
              <w:rPr>
                <w:rFonts w:ascii="Calibri" w:eastAsia="Aptos" w:hAnsi="Calibri" w:cs="Calibri"/>
                <w:b/>
                <w:bCs/>
                <w:kern w:val="0"/>
                <w:sz w:val="24"/>
                <w:szCs w:val="24"/>
              </w:rPr>
              <w:t>tarlatamab</w:t>
            </w:r>
            <w:proofErr w:type="spellEnd"/>
            <w:r w:rsidRPr="00E8748B">
              <w:rPr>
                <w:rFonts w:ascii="Calibri" w:eastAsia="Aptos" w:hAnsi="Calibri" w:cs="Calibri"/>
                <w:b/>
                <w:bCs/>
                <w:kern w:val="0"/>
                <w:sz w:val="24"/>
                <w:szCs w:val="24"/>
              </w:rPr>
              <w:t>) vs. Chemo SoC in a planned interim analysis of a global P3 (</w:t>
            </w:r>
            <w:hyperlink r:id="rId6" w:history="1">
              <w:r w:rsidRPr="00E8748B">
                <w:rPr>
                  <w:rFonts w:ascii="Calibri" w:eastAsia="Aptos" w:hAnsi="Calibri" w:cs="Calibri"/>
                  <w:b/>
                  <w:bCs/>
                  <w:color w:val="0563C1"/>
                  <w:kern w:val="0"/>
                  <w:sz w:val="24"/>
                  <w:szCs w:val="24"/>
                  <w:u w:val="single"/>
                </w:rPr>
                <w:t>Amgen PR</w:t>
              </w:r>
            </w:hyperlink>
            <w:r w:rsidRPr="00E8748B">
              <w:rPr>
                <w:rFonts w:ascii="Calibri" w:eastAsia="Aptos" w:hAnsi="Calibri" w:cs="Calibri"/>
                <w:kern w:val="0"/>
                <w:sz w:val="24"/>
                <w:szCs w:val="24"/>
              </w:rPr>
              <w:t>)</w:t>
            </w:r>
          </w:p>
          <w:p w14:paraId="4F200607" w14:textId="77777777" w:rsidR="00E8748B" w:rsidRPr="00E8748B" w:rsidRDefault="00E8748B" w:rsidP="00E8748B">
            <w:pPr>
              <w:spacing w:after="0" w:line="240" w:lineRule="auto"/>
              <w:rPr>
                <w:rFonts w:ascii="Calibri" w:eastAsia="Aptos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Aptos" w:hAnsi="Calibri" w:cs="Calibri"/>
                <w:b/>
                <w:bCs/>
                <w:kern w:val="0"/>
                <w:sz w:val="24"/>
                <w:szCs w:val="24"/>
              </w:rPr>
              <w:t> </w:t>
            </w:r>
          </w:p>
          <w:p w14:paraId="1A9415CF" w14:textId="77777777" w:rsidR="00E8748B" w:rsidRPr="00E8748B" w:rsidRDefault="00E8748B" w:rsidP="00E8748B">
            <w:pPr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 xml:space="preserve">After earning AA (May’24) in 2L+ SCLC based on a dose opt 3L+ SCLC P2 trial demonstrating significant ORR and </w:t>
            </w:r>
            <w:proofErr w:type="spellStart"/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>DoR</w:t>
            </w:r>
            <w:proofErr w:type="spellEnd"/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 xml:space="preserve"> improvement, </w:t>
            </w:r>
            <w:proofErr w:type="spellStart"/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>Imdelltra</w:t>
            </w:r>
            <w:proofErr w:type="spellEnd"/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 xml:space="preserve"> confirmatory P3 (DeLLphi-304) readout was expected in H1’25 (</w:t>
            </w:r>
            <w:hyperlink r:id="rId7" w:history="1">
              <w:r w:rsidRPr="00E8748B">
                <w:rPr>
                  <w:rFonts w:ascii="Calibri" w:eastAsia="Times New Roman" w:hAnsi="Calibri" w:cs="Calibri"/>
                  <w:b/>
                  <w:bCs/>
                  <w:color w:val="0563C1"/>
                  <w:kern w:val="0"/>
                  <w:sz w:val="24"/>
                  <w:szCs w:val="24"/>
                  <w:u w:val="single"/>
                </w:rPr>
                <w:t>Amgen Q4’24 earnings</w:t>
              </w:r>
            </w:hyperlink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>)</w:t>
            </w:r>
          </w:p>
          <w:p w14:paraId="3E1562D1" w14:textId="77777777" w:rsidR="00E8748B" w:rsidRPr="00E8748B" w:rsidRDefault="00E8748B" w:rsidP="00E8748B">
            <w:pPr>
              <w:numPr>
                <w:ilvl w:val="1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>OS, primary endpoint, met clinical and statistical significance</w:t>
            </w:r>
          </w:p>
          <w:p w14:paraId="557CC3BE" w14:textId="77777777" w:rsidR="00E8748B" w:rsidRPr="00E8748B" w:rsidRDefault="00E8748B" w:rsidP="00E8748B">
            <w:pPr>
              <w:numPr>
                <w:ilvl w:val="1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>Exact numbers have not been provided</w:t>
            </w: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 and will be presented at an upcoming medical congress</w:t>
            </w:r>
          </w:p>
          <w:p w14:paraId="2E6E255E" w14:textId="77777777" w:rsidR="00E8748B" w:rsidRPr="00E8748B" w:rsidRDefault="00E8748B" w:rsidP="00E8748B">
            <w:pPr>
              <w:numPr>
                <w:ilvl w:val="1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>Safety profile was deemed consistent with its known profile</w:t>
            </w:r>
          </w:p>
          <w:p w14:paraId="529C5CB7" w14:textId="77777777" w:rsidR="00E8748B" w:rsidRPr="00E8748B" w:rsidRDefault="00E8748B" w:rsidP="00E8748B">
            <w:pPr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>Previously, Amgen shared extended follow-up data from P2 (3L+ SCLC) at WCLC’24</w:t>
            </w:r>
          </w:p>
          <w:p w14:paraId="539DC2F4" w14:textId="77777777" w:rsidR="00E8748B" w:rsidRPr="00E8748B" w:rsidRDefault="00E8748B" w:rsidP="00E8748B">
            <w:pPr>
              <w:numPr>
                <w:ilvl w:val="1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 xml:space="preserve">40% ORR and 9.7mo </w:t>
            </w:r>
            <w:proofErr w:type="spellStart"/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>mDOR</w:t>
            </w:r>
            <w:proofErr w:type="spellEnd"/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 remained consistent with their FDA label</w:t>
            </w:r>
          </w:p>
          <w:p w14:paraId="664CE8C0" w14:textId="77777777" w:rsidR="00E8748B" w:rsidRPr="00E8748B" w:rsidRDefault="00E8748B" w:rsidP="00E8748B">
            <w:pPr>
              <w:numPr>
                <w:ilvl w:val="1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Compared to ESMO’23 data, there was a decline in </w:t>
            </w:r>
            <w:proofErr w:type="spellStart"/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>mPFS</w:t>
            </w:r>
            <w:proofErr w:type="spellEnd"/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 xml:space="preserve"> (4.3mo</w:t>
            </w: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 vs 4.9mo) and an increase in </w:t>
            </w:r>
            <w:proofErr w:type="spellStart"/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>mOS</w:t>
            </w:r>
            <w:proofErr w:type="spellEnd"/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 xml:space="preserve"> (15.2mo</w:t>
            </w: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 vs 14.3mo, </w:t>
            </w:r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>immature data</w:t>
            </w: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>)</w:t>
            </w:r>
          </w:p>
          <w:p w14:paraId="2F89ECFC" w14:textId="77777777" w:rsidR="00E8748B" w:rsidRPr="00E8748B" w:rsidRDefault="00E8748B" w:rsidP="00E8748B">
            <w:pPr>
              <w:numPr>
                <w:ilvl w:val="1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58% Gr3+ TEAEs, </w:t>
            </w:r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>55% all grade CRS</w:t>
            </w: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 and 15% ICANS – led to </w:t>
            </w:r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 xml:space="preserve">a boxed warning on their </w:t>
            </w:r>
            <w:hyperlink r:id="rId8" w:history="1">
              <w:r w:rsidRPr="00E8748B">
                <w:rPr>
                  <w:rFonts w:ascii="Calibri" w:eastAsia="Times New Roman" w:hAnsi="Calibri" w:cs="Calibri"/>
                  <w:b/>
                  <w:bCs/>
                  <w:color w:val="0563C1"/>
                  <w:kern w:val="0"/>
                  <w:sz w:val="24"/>
                  <w:szCs w:val="24"/>
                  <w:u w:val="single"/>
                </w:rPr>
                <w:t>label</w:t>
              </w:r>
            </w:hyperlink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 </w:t>
            </w:r>
          </w:p>
          <w:p w14:paraId="59555437" w14:textId="77777777" w:rsidR="00E8748B" w:rsidRPr="00E8748B" w:rsidRDefault="00E8748B" w:rsidP="00E8748B">
            <w:pPr>
              <w:numPr>
                <w:ilvl w:val="1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</w:rPr>
            </w:pPr>
            <w:proofErr w:type="gramStart"/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>Important</w:t>
            </w:r>
            <w:proofErr w:type="gramEnd"/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 to note that the P2 trial was conducted in </w:t>
            </w:r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>3L+ SCLC</w:t>
            </w: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 and </w:t>
            </w:r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>excluded patients with</w:t>
            </w: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 </w:t>
            </w:r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 xml:space="preserve">untreated brain </w:t>
            </w:r>
            <w:proofErr w:type="spellStart"/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>mets</w:t>
            </w:r>
            <w:proofErr w:type="spellEnd"/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 (likely improving survival outcome data)</w:t>
            </w:r>
          </w:p>
          <w:p w14:paraId="398CA590" w14:textId="77777777" w:rsidR="00E8748B" w:rsidRPr="00E8748B" w:rsidRDefault="00E8748B" w:rsidP="00E8748B">
            <w:pPr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Global P3 was conducted in </w:t>
            </w:r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>2L+ SCLC</w:t>
            </w: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 and doesn’t explicitly exclude untreated brain </w:t>
            </w:r>
            <w:proofErr w:type="spellStart"/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>mets</w:t>
            </w:r>
            <w:proofErr w:type="spellEnd"/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 patients</w:t>
            </w:r>
          </w:p>
          <w:p w14:paraId="63B84826" w14:textId="77777777" w:rsidR="00E8748B" w:rsidRPr="00E8748B" w:rsidRDefault="00E8748B" w:rsidP="00E8748B">
            <w:pPr>
              <w:numPr>
                <w:ilvl w:val="1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>Based on Amgen prior communication and timing of PR, it is likely that data would be presented at ASCO’25 (or WCLC’25 in Sep at the latest)</w:t>
            </w:r>
          </w:p>
          <w:p w14:paraId="2FB4B48B" w14:textId="77777777" w:rsidR="00E8748B" w:rsidRPr="00E8748B" w:rsidRDefault="00E8748B" w:rsidP="00E8748B">
            <w:pPr>
              <w:numPr>
                <w:ilvl w:val="1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 xml:space="preserve">CSI predicts that full FDA approval of </w:t>
            </w:r>
            <w:proofErr w:type="spellStart"/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>Imdelltra</w:t>
            </w:r>
            <w:proofErr w:type="spellEnd"/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 xml:space="preserve"> could be granted by year-end</w:t>
            </w:r>
          </w:p>
          <w:p w14:paraId="427F1110" w14:textId="77777777" w:rsidR="00E8748B" w:rsidRPr="00E8748B" w:rsidRDefault="00E8748B" w:rsidP="00E8748B">
            <w:pPr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</w:rPr>
              <w:t>Amgen continues to aggressively invest in SCLC</w:t>
            </w: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 and adjacent tumors with 12 active trials (including 6 </w:t>
            </w:r>
            <w:proofErr w:type="gramStart"/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>investigator</w:t>
            </w:r>
            <w:proofErr w:type="gramEnd"/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 led trials) – for instance:</w:t>
            </w:r>
          </w:p>
          <w:p w14:paraId="1FBE611D" w14:textId="77777777" w:rsidR="00E8748B" w:rsidRPr="00E8748B" w:rsidRDefault="00E8748B" w:rsidP="00E8748B">
            <w:pPr>
              <w:numPr>
                <w:ilvl w:val="1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>P3 in LS-SCLC (PCD:10/2029)</w:t>
            </w:r>
          </w:p>
          <w:p w14:paraId="65A06841" w14:textId="77777777" w:rsidR="00E8748B" w:rsidRPr="00E8748B" w:rsidRDefault="00E8748B" w:rsidP="00E8748B">
            <w:pPr>
              <w:numPr>
                <w:ilvl w:val="1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>P3 in 1L maintenance only (PCD: 09/2027)</w:t>
            </w:r>
          </w:p>
          <w:p w14:paraId="55CC73D5" w14:textId="77777777" w:rsidR="00E8748B" w:rsidRPr="00E8748B" w:rsidRDefault="00E8748B" w:rsidP="00E8748B">
            <w:pPr>
              <w:numPr>
                <w:ilvl w:val="1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P1 in 1L and 2L+ SCLC in combination with </w:t>
            </w:r>
            <w:proofErr w:type="spellStart"/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>MediLink’s</w:t>
            </w:r>
            <w:proofErr w:type="spellEnd"/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 xml:space="preserve"> YL-201 (B7-H3 ADC)</w:t>
            </w:r>
          </w:p>
          <w:p w14:paraId="1F8493A3" w14:textId="77777777" w:rsidR="00E8748B" w:rsidRPr="00E8748B" w:rsidRDefault="00E8748B" w:rsidP="00E8748B">
            <w:pPr>
              <w:numPr>
                <w:ilvl w:val="1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Times New Roman" w:hAnsi="Calibri" w:cs="Calibri"/>
                <w:kern w:val="0"/>
                <w:sz w:val="24"/>
                <w:szCs w:val="24"/>
              </w:rPr>
              <w:t>Two P2 platform trials in neuroendocrine tumors</w:t>
            </w:r>
          </w:p>
          <w:p w14:paraId="3C20A536" w14:textId="77777777" w:rsidR="00E8748B" w:rsidRPr="00E8748B" w:rsidRDefault="00E8748B" w:rsidP="00E8748B">
            <w:pPr>
              <w:spacing w:after="0" w:line="240" w:lineRule="auto"/>
              <w:rPr>
                <w:rFonts w:ascii="Calibri" w:eastAsia="Aptos" w:hAnsi="Calibri" w:cs="Calibri"/>
                <w:kern w:val="0"/>
                <w:sz w:val="24"/>
                <w:szCs w:val="24"/>
              </w:rPr>
            </w:pPr>
            <w:r w:rsidRPr="00E8748B">
              <w:rPr>
                <w:rFonts w:ascii="Calibri" w:eastAsia="Aptos" w:hAnsi="Calibri" w:cs="Calibri"/>
                <w:kern w:val="0"/>
                <w:sz w:val="24"/>
                <w:szCs w:val="24"/>
              </w:rPr>
              <w:t> </w:t>
            </w:r>
          </w:p>
        </w:tc>
      </w:tr>
    </w:tbl>
    <w:p w14:paraId="5D7503A7" w14:textId="77777777" w:rsidR="00C364A3" w:rsidRDefault="00C364A3"/>
    <w:sectPr w:rsidR="00C36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005"/>
    <w:multiLevelType w:val="multilevel"/>
    <w:tmpl w:val="C34C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025941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48B"/>
    <w:rsid w:val="004B7F26"/>
    <w:rsid w:val="005A1F51"/>
    <w:rsid w:val="008335E0"/>
    <w:rsid w:val="008C4B69"/>
    <w:rsid w:val="00C364A3"/>
    <w:rsid w:val="00E8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4E6DB"/>
  <w15:chartTrackingRefBased/>
  <w15:docId w15:val="{2C4315BA-4609-4038-8D3D-1504D1D3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4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74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4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0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2.safelinks.protection.outlook.com/?url=https%3A%2F%2Fwww.accessdata.fda.gov%2Fdrugsatfda_docs%2Flabel%2F2024%2F761344s000lbl.pdf&amp;data=05%7C02%7Colivier.lucar%40abbvie.com%7Cc48a1f3edc5648195ac908dd794488fc%7C6f4d03de95514ba1a25bdce6f5ab7ace%7C0%7C0%7C638800057454121426%7CUnknown%7CTWFpbGZsb3d8eyJFbXB0eU1hcGkiOnRydWUsIlYiOiIwLjAuMDAwMCIsIlAiOiJXaW4zMiIsIkFOIjoiTWFpbCIsIldUIjoyfQ%3D%3D%7C0%7C%7C%7C&amp;sdata=UQ54e%2BzBx51CKQLPDCiiTeZV5x1gBtSIJfyoKKsqVfI%3D&amp;reserved=0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nam12.safelinks.protection.outlook.com/?url=https%3A%2F%2Fwww.amgen.com%2Fnewsroom%2Fpress-releases%2F2025%2F02%2Famgen-reports-fourth-quarter-and-full-year-2024-financial-results&amp;data=05%7C02%7Colivier.lucar%40abbvie.com%7Cc48a1f3edc5648195ac908dd794488fc%7C6f4d03de95514ba1a25bdce6f5ab7ace%7C0%7C0%7C638800057454106260%7CUnknown%7CTWFpbGZsb3d8eyJFbXB0eU1hcGkiOnRydWUsIlYiOiIwLjAuMDAwMCIsIlAiOiJXaW4zMiIsIkFOIjoiTWFpbCIsIldUIjoyfQ%3D%3D%7C0%7C%7C%7C&amp;sdata=4VRJjkIXX0IDTlL%2Bm8GXdSvE10UwwJMXKIutc8ndW3g%3D&amp;reserved=0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m12.safelinks.protection.outlook.com/?url=https%3A%2F%2Fwww.prnewswire.com%2Fnews-releases%2Fimdelltra-demonstrated-superior-overall-survival-in-small-cell-lung-cancer-302426291.html&amp;data=05%7C02%7Colivier.lucar%40abbvie.com%7Cc48a1f3edc5648195ac908dd794488fc%7C6f4d03de95514ba1a25bdce6f5ab7ace%7C0%7C0%7C638800057454085241%7CUnknown%7CTWFpbGZsb3d8eyJFbXB0eU1hcGkiOnRydWUsIlYiOiIwLjAuMDAwMCIsIlAiOiJXaW4zMiIsIkFOIjoiTWFpbCIsIldUIjoyfQ%3D%3D%7C0%7C%7C%7C&amp;sdata=%2F%2FFQOfq3D3%2BsBNsUWtt5DPUNs4J8mTqsi6CX7hyguSA%3D&amp;reserved=0" TargetMode="External"/><Relationship Id="rId11" Type="http://schemas.openxmlformats.org/officeDocument/2006/relationships/customXml" Target="../customXml/item1.xm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Props1.xml><?xml version="1.0" encoding="utf-8"?>
<ds:datastoreItem xmlns:ds="http://schemas.openxmlformats.org/officeDocument/2006/customXml" ds:itemID="{A7F91385-CDDE-4561-9330-9271D5044074}"/>
</file>

<file path=customXml/itemProps2.xml><?xml version="1.0" encoding="utf-8"?>
<ds:datastoreItem xmlns:ds="http://schemas.openxmlformats.org/officeDocument/2006/customXml" ds:itemID="{73F48743-2F16-4386-A53E-5CA47C43358A}"/>
</file>

<file path=customXml/itemProps3.xml><?xml version="1.0" encoding="utf-8"?>
<ds:datastoreItem xmlns:ds="http://schemas.openxmlformats.org/officeDocument/2006/customXml" ds:itemID="{68C4F061-A945-4829-8C38-16658D6717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Lucar, Olivier A</dc:creator>
  <cp:keywords/>
  <dc:description/>
  <cp:lastModifiedBy>Lucar, Olivier A</cp:lastModifiedBy>
  <cp:revision>2</cp:revision>
  <dcterms:created xsi:type="dcterms:W3CDTF">2025-04-21T13:40:00Z</dcterms:created>
  <dcterms:modified xsi:type="dcterms:W3CDTF">2025-04-21T13:45:00Z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</Properties>
</file>