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0AB1" w14:textId="596CE009" w:rsidR="006071B2" w:rsidRDefault="006071B2" w:rsidP="006071B2">
      <w:pPr>
        <w:jc w:val="center"/>
      </w:pPr>
      <w:bookmarkStart w:id="0" w:name="_Hlk1973355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917"/>
        <w:gridCol w:w="221"/>
      </w:tblGrid>
      <w:tr w:rsidR="00AE03F2" w14:paraId="09A6D9ED" w14:textId="77777777" w:rsidTr="00C92713">
        <w:trPr>
          <w:trHeight w:val="1760"/>
        </w:trPr>
        <w:tc>
          <w:tcPr>
            <w:tcW w:w="9360" w:type="dxa"/>
            <w:gridSpan w:val="3"/>
          </w:tcPr>
          <w:p w14:paraId="697A088C" w14:textId="3060F871" w:rsidR="00AE03F2" w:rsidRPr="00997305" w:rsidRDefault="00AE03F2" w:rsidP="005346CC">
            <w:pPr>
              <w:jc w:val="center"/>
              <w:rPr>
                <w:rFonts w:ascii="Aptos" w:eastAsia="Aptos" w:hAnsi="Aptos" w:cs="Aptos"/>
                <w:kern w:val="0"/>
                <w14:ligatures w14:val="none"/>
              </w:rPr>
            </w:pPr>
            <w:r>
              <w:rPr>
                <w:rFonts w:ascii="Aptos" w:eastAsia="Aptos" w:hAnsi="Aptos" w:cs="Aptos"/>
                <w:noProof/>
                <w:kern w:val="0"/>
                <w14:ligatures w14:val="none"/>
              </w:rPr>
              <w:drawing>
                <wp:inline distT="0" distB="0" distL="0" distR="0" wp14:anchorId="14F63932" wp14:editId="76DA0C58">
                  <wp:extent cx="5029835" cy="890270"/>
                  <wp:effectExtent l="0" t="0" r="0" b="5080"/>
                  <wp:docPr id="8145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835" cy="890270"/>
                          </a:xfrm>
                          <a:prstGeom prst="rect">
                            <a:avLst/>
                          </a:prstGeom>
                          <a:noFill/>
                        </pic:spPr>
                      </pic:pic>
                    </a:graphicData>
                  </a:graphic>
                </wp:inline>
              </w:drawing>
            </w:r>
          </w:p>
        </w:tc>
      </w:tr>
      <w:tr w:rsidR="005346CC" w14:paraId="41C8DD49" w14:textId="77777777" w:rsidTr="00C92713">
        <w:trPr>
          <w:trHeight w:val="440"/>
        </w:trPr>
        <w:tc>
          <w:tcPr>
            <w:tcW w:w="9360" w:type="dxa"/>
            <w:gridSpan w:val="3"/>
          </w:tcPr>
          <w:p w14:paraId="2B4CF111" w14:textId="62DE00D5" w:rsidR="005346CC" w:rsidRPr="00997305" w:rsidRDefault="005346CC" w:rsidP="005346CC">
            <w:pPr>
              <w:jc w:val="center"/>
              <w:rPr>
                <w:noProof/>
              </w:rPr>
            </w:pPr>
            <w:r w:rsidRPr="00997305">
              <w:rPr>
                <w:rFonts w:ascii="Aptos" w:eastAsia="Aptos" w:hAnsi="Aptos" w:cs="Aptos"/>
                <w:kern w:val="0"/>
                <w14:ligatures w14:val="none"/>
              </w:rPr>
              <w:t xml:space="preserve">CSI wanted to share highlights from </w:t>
            </w:r>
            <w:r w:rsidR="00477BD7">
              <w:rPr>
                <w:rFonts w:ascii="Aptos" w:eastAsia="Aptos" w:hAnsi="Aptos" w:cs="Aptos"/>
                <w:kern w:val="0"/>
                <w14:ligatures w14:val="none"/>
              </w:rPr>
              <w:t xml:space="preserve">additional </w:t>
            </w:r>
            <w:r w:rsidRPr="00997305">
              <w:rPr>
                <w:rFonts w:ascii="Aptos" w:eastAsia="Aptos" w:hAnsi="Aptos" w:cs="Aptos"/>
                <w:kern w:val="0"/>
                <w14:ligatures w14:val="none"/>
              </w:rPr>
              <w:t xml:space="preserve">lung </w:t>
            </w:r>
            <w:proofErr w:type="gramStart"/>
            <w:r w:rsidRPr="00997305">
              <w:rPr>
                <w:rFonts w:ascii="Aptos" w:eastAsia="Aptos" w:hAnsi="Aptos" w:cs="Aptos"/>
                <w:kern w:val="0"/>
                <w14:ligatures w14:val="none"/>
              </w:rPr>
              <w:t>competitors</w:t>
            </w:r>
            <w:proofErr w:type="gramEnd"/>
            <w:r w:rsidRPr="00997305">
              <w:rPr>
                <w:rFonts w:ascii="Aptos" w:eastAsia="Aptos" w:hAnsi="Aptos" w:cs="Aptos"/>
                <w:kern w:val="0"/>
                <w14:ligatures w14:val="none"/>
              </w:rPr>
              <w:t xml:space="preserve"> </w:t>
            </w:r>
            <w:r w:rsidR="009441C5">
              <w:rPr>
                <w:rFonts w:ascii="Aptos" w:eastAsia="Aptos" w:hAnsi="Aptos" w:cs="Aptos"/>
                <w:kern w:val="0"/>
                <w14:ligatures w14:val="none"/>
              </w:rPr>
              <w:t xml:space="preserve">Q1 </w:t>
            </w:r>
            <w:r w:rsidRPr="00997305">
              <w:rPr>
                <w:rFonts w:ascii="Aptos" w:eastAsia="Aptos" w:hAnsi="Aptos" w:cs="Aptos"/>
                <w:kern w:val="0"/>
                <w14:ligatures w14:val="none"/>
              </w:rPr>
              <w:t>earnings calls:</w:t>
            </w:r>
          </w:p>
        </w:tc>
      </w:tr>
      <w:tr w:rsidR="002D27A9" w14:paraId="058E4CB5" w14:textId="77777777" w:rsidTr="00C92713">
        <w:trPr>
          <w:trHeight w:val="440"/>
        </w:trPr>
        <w:tc>
          <w:tcPr>
            <w:tcW w:w="9360" w:type="dxa"/>
            <w:gridSpan w:val="3"/>
          </w:tcPr>
          <w:p w14:paraId="4BE75AAC" w14:textId="77777777" w:rsidR="002D27A9" w:rsidRDefault="002D27A9" w:rsidP="0019068D">
            <w:pPr>
              <w:jc w:val="center"/>
              <w:rPr>
                <w:noProof/>
              </w:rPr>
            </w:pPr>
          </w:p>
        </w:tc>
      </w:tr>
      <w:tr w:rsidR="002D27A9" w14:paraId="3E6F8A5F" w14:textId="77777777" w:rsidTr="00C92713">
        <w:trPr>
          <w:trHeight w:val="440"/>
        </w:trPr>
        <w:tc>
          <w:tcPr>
            <w:tcW w:w="9360" w:type="dxa"/>
            <w:gridSpan w:val="3"/>
          </w:tcPr>
          <w:p w14:paraId="37832D59" w14:textId="77777777" w:rsidR="002D27A9" w:rsidRDefault="002D27A9" w:rsidP="0019068D">
            <w:pPr>
              <w:jc w:val="center"/>
              <w:rPr>
                <w:noProof/>
              </w:rPr>
            </w:pPr>
          </w:p>
        </w:tc>
      </w:tr>
      <w:tr w:rsidR="002D27A9" w14:paraId="34DF55B5" w14:textId="77777777" w:rsidTr="00C92713">
        <w:trPr>
          <w:trHeight w:val="440"/>
        </w:trPr>
        <w:tc>
          <w:tcPr>
            <w:tcW w:w="9360" w:type="dxa"/>
            <w:gridSpan w:val="3"/>
          </w:tcPr>
          <w:p w14:paraId="203BE57B" w14:textId="5FEB0847" w:rsidR="002D27A9" w:rsidRDefault="00F93785" w:rsidP="0019068D">
            <w:pPr>
              <w:jc w:val="center"/>
              <w:rPr>
                <w:noProof/>
              </w:rPr>
            </w:pPr>
            <w:r w:rsidRPr="00F93785">
              <w:rPr>
                <w:noProof/>
              </w:rPr>
              <w:drawing>
                <wp:inline distT="0" distB="0" distL="0" distR="0" wp14:anchorId="56A97345" wp14:editId="3DB7F1FD">
                  <wp:extent cx="1759040" cy="349268"/>
                  <wp:effectExtent l="0" t="0" r="0" b="0"/>
                  <wp:docPr id="7023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9931" name=""/>
                          <pic:cNvPicPr/>
                        </pic:nvPicPr>
                        <pic:blipFill>
                          <a:blip r:embed="rId9"/>
                          <a:stretch>
                            <a:fillRect/>
                          </a:stretch>
                        </pic:blipFill>
                        <pic:spPr>
                          <a:xfrm>
                            <a:off x="0" y="0"/>
                            <a:ext cx="1759040" cy="349268"/>
                          </a:xfrm>
                          <a:prstGeom prst="rect">
                            <a:avLst/>
                          </a:prstGeom>
                        </pic:spPr>
                      </pic:pic>
                    </a:graphicData>
                  </a:graphic>
                </wp:inline>
              </w:drawing>
            </w:r>
          </w:p>
        </w:tc>
      </w:tr>
      <w:tr w:rsidR="00256A02" w14:paraId="1C1B149E" w14:textId="77777777" w:rsidTr="005C677E">
        <w:trPr>
          <w:trHeight w:val="440"/>
        </w:trPr>
        <w:tc>
          <w:tcPr>
            <w:tcW w:w="604" w:type="dxa"/>
          </w:tcPr>
          <w:p w14:paraId="15E6F007" w14:textId="77777777" w:rsidR="00256A02" w:rsidRDefault="00256A02" w:rsidP="0019068D">
            <w:pPr>
              <w:jc w:val="center"/>
              <w:rPr>
                <w:noProof/>
              </w:rPr>
            </w:pPr>
          </w:p>
        </w:tc>
        <w:tc>
          <w:tcPr>
            <w:tcW w:w="8152" w:type="dxa"/>
          </w:tcPr>
          <w:p w14:paraId="29B61B0C" w14:textId="77777777" w:rsidR="00477BD7" w:rsidRDefault="00477BD7" w:rsidP="00BA60CE">
            <w:pPr>
              <w:spacing w:line="252" w:lineRule="auto"/>
              <w:rPr>
                <w:rFonts w:eastAsia="Calibri" w:cs="Calibri"/>
                <w:color w:val="000000"/>
              </w:rPr>
            </w:pPr>
          </w:p>
          <w:p w14:paraId="2469EB0E" w14:textId="79D2DEB1" w:rsidR="00BA60CE" w:rsidRPr="00BA60CE" w:rsidRDefault="00BA60CE" w:rsidP="00BA60CE">
            <w:pPr>
              <w:spacing w:line="252" w:lineRule="auto"/>
              <w:rPr>
                <w:rFonts w:eastAsia="Calibri" w:cs="Calibri"/>
                <w:color w:val="000000"/>
              </w:rPr>
            </w:pPr>
            <w:r w:rsidRPr="00BA60CE">
              <w:rPr>
                <w:rFonts w:eastAsia="Calibri" w:cs="Calibri"/>
                <w:color w:val="000000"/>
              </w:rPr>
              <w:t>BioNTech reported its Q1 2025 financial results and held an accompanying investor call (</w:t>
            </w:r>
            <w:hyperlink r:id="rId10" w:history="1">
              <w:r w:rsidRPr="00BA60CE">
                <w:rPr>
                  <w:rFonts w:eastAsia="Calibri" w:cs="Calibri"/>
                  <w:color w:val="0563C1"/>
                  <w:u w:val="single"/>
                </w:rPr>
                <w:t>Results</w:t>
              </w:r>
            </w:hyperlink>
            <w:r w:rsidRPr="00BA60CE">
              <w:rPr>
                <w:rFonts w:eastAsia="Calibri" w:cs="Calibri"/>
                <w:color w:val="000000"/>
              </w:rPr>
              <w:t xml:space="preserve"> | </w:t>
            </w:r>
            <w:hyperlink r:id="rId11" w:history="1">
              <w:r w:rsidRPr="00BA60CE">
                <w:rPr>
                  <w:rFonts w:eastAsia="Calibri" w:cs="Calibri"/>
                  <w:color w:val="0563C1"/>
                  <w:u w:val="single"/>
                </w:rPr>
                <w:t>Presentation</w:t>
              </w:r>
            </w:hyperlink>
            <w:r w:rsidRPr="00BA60CE">
              <w:rPr>
                <w:rFonts w:eastAsia="Calibri" w:cs="Calibri"/>
                <w:color w:val="000000"/>
              </w:rPr>
              <w:t>)</w:t>
            </w:r>
          </w:p>
          <w:p w14:paraId="57930C6A" w14:textId="77777777" w:rsidR="00256A02" w:rsidRDefault="00256A02" w:rsidP="0019068D">
            <w:pPr>
              <w:jc w:val="center"/>
              <w:rPr>
                <w:noProof/>
              </w:rPr>
            </w:pPr>
          </w:p>
        </w:tc>
        <w:tc>
          <w:tcPr>
            <w:tcW w:w="604" w:type="dxa"/>
            <w:tcBorders>
              <w:left w:val="nil"/>
            </w:tcBorders>
          </w:tcPr>
          <w:p w14:paraId="7EF51B09" w14:textId="1C201589" w:rsidR="00256A02" w:rsidRDefault="00256A02" w:rsidP="0019068D">
            <w:pPr>
              <w:jc w:val="center"/>
              <w:rPr>
                <w:noProof/>
              </w:rPr>
            </w:pPr>
          </w:p>
        </w:tc>
      </w:tr>
      <w:tr w:rsidR="007E4C74" w14:paraId="25E9FC3A" w14:textId="77777777" w:rsidTr="005C677E">
        <w:trPr>
          <w:trHeight w:val="440"/>
        </w:trPr>
        <w:tc>
          <w:tcPr>
            <w:tcW w:w="604" w:type="dxa"/>
          </w:tcPr>
          <w:p w14:paraId="203D559B" w14:textId="77777777" w:rsidR="007E4C74" w:rsidRDefault="007E4C74" w:rsidP="0019068D">
            <w:pPr>
              <w:jc w:val="center"/>
              <w:rPr>
                <w:noProof/>
              </w:rPr>
            </w:pPr>
          </w:p>
        </w:tc>
        <w:tc>
          <w:tcPr>
            <w:tcW w:w="8152" w:type="dxa"/>
          </w:tcPr>
          <w:p w14:paraId="7FCAB1CB" w14:textId="2017EFC7" w:rsidR="0072742E" w:rsidRDefault="00151409" w:rsidP="00EF0177">
            <w:pPr>
              <w:spacing w:line="252" w:lineRule="auto"/>
              <w:rPr>
                <w:b/>
                <w:bCs/>
                <w:color w:val="002060"/>
              </w:rPr>
            </w:pPr>
            <w:r w:rsidRPr="00151409">
              <w:rPr>
                <w:b/>
                <w:bCs/>
                <w:color w:val="002060"/>
              </w:rPr>
              <w:t xml:space="preserve">Analysts were very interested in BNT327/PM8002 (PD-L1 x VEGF </w:t>
            </w:r>
            <w:proofErr w:type="spellStart"/>
            <w:r w:rsidRPr="00151409">
              <w:rPr>
                <w:b/>
                <w:bCs/>
                <w:color w:val="002060"/>
              </w:rPr>
              <w:t>bsAb</w:t>
            </w:r>
            <w:proofErr w:type="spellEnd"/>
            <w:r w:rsidRPr="00151409">
              <w:rPr>
                <w:b/>
                <w:bCs/>
                <w:color w:val="002060"/>
              </w:rPr>
              <w:t xml:space="preserve">) as backbone for its NSCLC </w:t>
            </w:r>
            <w:proofErr w:type="gramStart"/>
            <w:r w:rsidRPr="00151409">
              <w:rPr>
                <w:b/>
                <w:bCs/>
                <w:color w:val="002060"/>
              </w:rPr>
              <w:t>program</w:t>
            </w:r>
            <w:r w:rsidR="00022F99">
              <w:rPr>
                <w:b/>
                <w:bCs/>
                <w:color w:val="002060"/>
              </w:rPr>
              <w:t>, and</w:t>
            </w:r>
            <w:proofErr w:type="gramEnd"/>
            <w:r w:rsidR="00022F99">
              <w:rPr>
                <w:b/>
                <w:bCs/>
                <w:color w:val="002060"/>
              </w:rPr>
              <w:t xml:space="preserve"> comparing the agent to </w:t>
            </w:r>
            <w:r w:rsidR="00A0241F">
              <w:rPr>
                <w:b/>
                <w:bCs/>
                <w:color w:val="002060"/>
              </w:rPr>
              <w:t>Summit</w:t>
            </w:r>
            <w:r w:rsidR="002651BD">
              <w:rPr>
                <w:b/>
                <w:bCs/>
                <w:color w:val="002060"/>
              </w:rPr>
              <w:t>’s P3</w:t>
            </w:r>
            <w:r w:rsidR="00343890">
              <w:rPr>
                <w:b/>
                <w:bCs/>
                <w:color w:val="002060"/>
              </w:rPr>
              <w:t xml:space="preserve"> </w:t>
            </w:r>
            <w:proofErr w:type="spellStart"/>
            <w:r w:rsidR="00343890">
              <w:rPr>
                <w:b/>
                <w:bCs/>
                <w:color w:val="002060"/>
              </w:rPr>
              <w:t>ivonescimab</w:t>
            </w:r>
            <w:proofErr w:type="spellEnd"/>
            <w:r w:rsidR="002113B1">
              <w:rPr>
                <w:b/>
                <w:bCs/>
                <w:color w:val="002060"/>
              </w:rPr>
              <w:t xml:space="preserve"> </w:t>
            </w:r>
            <w:r w:rsidR="00A0241F">
              <w:rPr>
                <w:b/>
                <w:bCs/>
                <w:color w:val="002060"/>
              </w:rPr>
              <w:t xml:space="preserve">and Merck’s </w:t>
            </w:r>
            <w:r w:rsidR="002651BD">
              <w:rPr>
                <w:b/>
                <w:bCs/>
                <w:color w:val="002060"/>
              </w:rPr>
              <w:t xml:space="preserve">P1 </w:t>
            </w:r>
            <w:r w:rsidR="002113B1">
              <w:rPr>
                <w:b/>
                <w:bCs/>
                <w:color w:val="002060"/>
              </w:rPr>
              <w:t xml:space="preserve">PD-1/VEGF </w:t>
            </w:r>
            <w:proofErr w:type="spellStart"/>
            <w:r w:rsidR="002113B1">
              <w:rPr>
                <w:b/>
                <w:bCs/>
                <w:color w:val="002060"/>
              </w:rPr>
              <w:t>bsAb</w:t>
            </w:r>
            <w:proofErr w:type="spellEnd"/>
            <w:r w:rsidR="00A0241F">
              <w:rPr>
                <w:b/>
                <w:bCs/>
                <w:color w:val="002060"/>
              </w:rPr>
              <w:t xml:space="preserve"> agents. </w:t>
            </w:r>
            <w:r w:rsidR="002524D8">
              <w:rPr>
                <w:b/>
                <w:bCs/>
                <w:color w:val="002060"/>
              </w:rPr>
              <w:t xml:space="preserve"> </w:t>
            </w:r>
            <w:r w:rsidR="002651BD" w:rsidRPr="002651BD">
              <w:rPr>
                <w:b/>
                <w:bCs/>
                <w:color w:val="002060"/>
              </w:rPr>
              <w:t>BNT327</w:t>
            </w:r>
            <w:r w:rsidR="002651BD">
              <w:rPr>
                <w:b/>
                <w:bCs/>
                <w:color w:val="002060"/>
              </w:rPr>
              <w:t xml:space="preserve"> </w:t>
            </w:r>
            <w:r w:rsidR="0026212B">
              <w:rPr>
                <w:b/>
                <w:bCs/>
                <w:color w:val="002060"/>
              </w:rPr>
              <w:t xml:space="preserve">is in a global P3 in </w:t>
            </w:r>
            <w:r w:rsidR="002707AD">
              <w:rPr>
                <w:b/>
                <w:bCs/>
                <w:color w:val="002060"/>
              </w:rPr>
              <w:t xml:space="preserve">1L SCLC </w:t>
            </w:r>
            <w:r w:rsidR="007816EF">
              <w:rPr>
                <w:b/>
                <w:bCs/>
                <w:color w:val="002060"/>
              </w:rPr>
              <w:t xml:space="preserve">and </w:t>
            </w:r>
            <w:r w:rsidR="00E26AFE">
              <w:rPr>
                <w:b/>
                <w:bCs/>
                <w:color w:val="002060"/>
              </w:rPr>
              <w:t>1L</w:t>
            </w:r>
            <w:r w:rsidR="007816EF">
              <w:rPr>
                <w:b/>
                <w:bCs/>
                <w:color w:val="002060"/>
              </w:rPr>
              <w:t xml:space="preserve"> NSCLC</w:t>
            </w:r>
            <w:r w:rsidR="00297D69">
              <w:rPr>
                <w:b/>
                <w:bCs/>
                <w:color w:val="002060"/>
              </w:rPr>
              <w:t>, both in combination with chemotherapy</w:t>
            </w:r>
          </w:p>
          <w:p w14:paraId="3D3C8EEE" w14:textId="77777777" w:rsidR="00297D69" w:rsidRPr="00EF0177" w:rsidRDefault="00297D69" w:rsidP="00EF0177">
            <w:pPr>
              <w:spacing w:line="252" w:lineRule="auto"/>
              <w:rPr>
                <w:b/>
                <w:bCs/>
                <w:color w:val="002060"/>
              </w:rPr>
            </w:pPr>
          </w:p>
          <w:p w14:paraId="27D052E8" w14:textId="5993E515" w:rsidR="00D65D28" w:rsidRPr="00D65D28" w:rsidRDefault="00D65D28" w:rsidP="00D65D28">
            <w:pPr>
              <w:numPr>
                <w:ilvl w:val="0"/>
                <w:numId w:val="33"/>
              </w:numPr>
              <w:contextualSpacing/>
              <w:rPr>
                <w:rFonts w:eastAsia="Times New Roman" w:cs="Calibri"/>
                <w:kern w:val="0"/>
                <w14:ligatures w14:val="none"/>
              </w:rPr>
            </w:pPr>
            <w:r w:rsidRPr="00D65D28">
              <w:rPr>
                <w:rFonts w:eastAsia="Times New Roman" w:cs="Calibri"/>
                <w:kern w:val="0"/>
                <w14:ligatures w14:val="none"/>
              </w:rPr>
              <w:t>BNTX views combinations with chemotherapy as the “</w:t>
            </w:r>
            <w:r w:rsidRPr="002651BD">
              <w:rPr>
                <w:rFonts w:eastAsia="Times New Roman" w:cs="Calibri"/>
                <w:i/>
                <w:iCs/>
                <w:kern w:val="0"/>
                <w14:ligatures w14:val="none"/>
              </w:rPr>
              <w:t>fastest path to market…capable of replacing first-generation CPIs</w:t>
            </w:r>
            <w:r w:rsidRPr="00D65D28">
              <w:rPr>
                <w:rFonts w:eastAsia="Times New Roman" w:cs="Calibri"/>
                <w:kern w:val="0"/>
                <w14:ligatures w14:val="none"/>
              </w:rPr>
              <w:t xml:space="preserve">,” but emphasized </w:t>
            </w:r>
            <w:r w:rsidR="00977690">
              <w:rPr>
                <w:rFonts w:eastAsia="Times New Roman" w:cs="Calibri"/>
                <w:kern w:val="0"/>
                <w14:ligatures w14:val="none"/>
              </w:rPr>
              <w:t xml:space="preserve">the </w:t>
            </w:r>
            <w:r w:rsidRPr="00D65D28">
              <w:rPr>
                <w:rFonts w:eastAsia="Times New Roman" w:cs="Calibri"/>
                <w:kern w:val="0"/>
                <w14:ligatures w14:val="none"/>
              </w:rPr>
              <w:t xml:space="preserve">longer-term strategy to combine BNT327 with its pipeline of ADCs, </w:t>
            </w:r>
            <w:proofErr w:type="spellStart"/>
            <w:r w:rsidRPr="00D65D28">
              <w:rPr>
                <w:rFonts w:eastAsia="Times New Roman" w:cs="Calibri"/>
                <w:kern w:val="0"/>
                <w14:ligatures w14:val="none"/>
              </w:rPr>
              <w:t>bispecifics</w:t>
            </w:r>
            <w:proofErr w:type="spellEnd"/>
            <w:r w:rsidRPr="00D65D28">
              <w:rPr>
                <w:rFonts w:eastAsia="Times New Roman" w:cs="Calibri"/>
                <w:kern w:val="0"/>
                <w14:ligatures w14:val="none"/>
              </w:rPr>
              <w:t>, and mRNA cancer vaccines</w:t>
            </w:r>
          </w:p>
          <w:p w14:paraId="7E095F6D" w14:textId="6675DB43" w:rsidR="00D65D28" w:rsidRPr="00B55C51" w:rsidRDefault="00D65D28" w:rsidP="00D65D28">
            <w:pPr>
              <w:numPr>
                <w:ilvl w:val="0"/>
                <w:numId w:val="33"/>
              </w:numPr>
              <w:contextualSpacing/>
              <w:rPr>
                <w:rFonts w:eastAsia="Times New Roman" w:cs="Calibri"/>
                <w:color w:val="FF0000"/>
                <w:kern w:val="0"/>
                <w14:ligatures w14:val="none"/>
              </w:rPr>
            </w:pPr>
            <w:r w:rsidRPr="00D65D28">
              <w:rPr>
                <w:rFonts w:eastAsia="Times New Roman" w:cs="Calibri"/>
                <w:kern w:val="0"/>
                <w14:ligatures w14:val="none"/>
              </w:rPr>
              <w:t xml:space="preserve">When asked about </w:t>
            </w:r>
            <w:r w:rsidR="001B7CA8">
              <w:rPr>
                <w:rFonts w:eastAsia="Times New Roman" w:cs="Calibri"/>
                <w:kern w:val="0"/>
                <w14:ligatures w14:val="none"/>
              </w:rPr>
              <w:t>potential pivotal trials in</w:t>
            </w:r>
            <w:r w:rsidRPr="00D65D28">
              <w:rPr>
                <w:rFonts w:eastAsia="Times New Roman" w:cs="Calibri"/>
                <w:kern w:val="0"/>
                <w14:ligatures w14:val="none"/>
              </w:rPr>
              <w:t xml:space="preserve"> 2L EGFRm NSCLC</w:t>
            </w:r>
            <w:r w:rsidR="00977690">
              <w:rPr>
                <w:rFonts w:eastAsia="Times New Roman" w:cs="Calibri"/>
                <w:kern w:val="0"/>
                <w14:ligatures w14:val="none"/>
              </w:rPr>
              <w:t>–</w:t>
            </w:r>
            <w:proofErr w:type="gramStart"/>
            <w:r w:rsidR="00606338">
              <w:rPr>
                <w:rFonts w:eastAsia="Times New Roman" w:cs="Calibri"/>
                <w:kern w:val="0"/>
                <w14:ligatures w14:val="none"/>
              </w:rPr>
              <w:t>Summit’s</w:t>
            </w:r>
            <w:r w:rsidR="00343890">
              <w:rPr>
                <w:rFonts w:eastAsia="Times New Roman" w:cs="Calibri"/>
                <w:kern w:val="0"/>
                <w14:ligatures w14:val="none"/>
              </w:rPr>
              <w:t xml:space="preserve"> </w:t>
            </w:r>
            <w:r w:rsidR="00606338">
              <w:rPr>
                <w:rFonts w:eastAsia="Times New Roman" w:cs="Calibri"/>
                <w:kern w:val="0"/>
                <w14:ligatures w14:val="none"/>
              </w:rPr>
              <w:t xml:space="preserve"> first</w:t>
            </w:r>
            <w:proofErr w:type="gramEnd"/>
            <w:r w:rsidR="00606338">
              <w:rPr>
                <w:rFonts w:eastAsia="Times New Roman" w:cs="Calibri"/>
                <w:kern w:val="0"/>
                <w14:ligatures w14:val="none"/>
              </w:rPr>
              <w:t xml:space="preserve"> expected approval in Western markets in 2026 --</w:t>
            </w:r>
            <w:r w:rsidR="00977690">
              <w:rPr>
                <w:rFonts w:eastAsia="Times New Roman" w:cs="Calibri"/>
                <w:kern w:val="0"/>
                <w14:ligatures w14:val="none"/>
              </w:rPr>
              <w:t xml:space="preserve"> </w:t>
            </w:r>
            <w:r w:rsidRPr="00D65D28">
              <w:rPr>
                <w:rFonts w:eastAsia="Times New Roman" w:cs="Calibri"/>
                <w:kern w:val="0"/>
                <w14:ligatures w14:val="none"/>
              </w:rPr>
              <w:t>BNTX is “</w:t>
            </w:r>
            <w:r w:rsidRPr="00A20E7B">
              <w:rPr>
                <w:rFonts w:eastAsia="Times New Roman" w:cs="Calibri"/>
                <w:i/>
                <w:iCs/>
                <w:kern w:val="0"/>
                <w14:ligatures w14:val="none"/>
              </w:rPr>
              <w:t>keeping the option open</w:t>
            </w:r>
            <w:r w:rsidRPr="00D65D28">
              <w:rPr>
                <w:rFonts w:eastAsia="Times New Roman" w:cs="Calibri"/>
                <w:kern w:val="0"/>
                <w14:ligatures w14:val="none"/>
              </w:rPr>
              <w:t xml:space="preserve">” </w:t>
            </w:r>
            <w:proofErr w:type="gramStart"/>
            <w:r w:rsidRPr="00D65D28">
              <w:rPr>
                <w:rFonts w:eastAsia="Times New Roman" w:cs="Calibri"/>
                <w:kern w:val="0"/>
                <w14:ligatures w14:val="none"/>
              </w:rPr>
              <w:t>in light of</w:t>
            </w:r>
            <w:proofErr w:type="gramEnd"/>
            <w:r w:rsidRPr="00D65D28">
              <w:rPr>
                <w:rFonts w:eastAsia="Times New Roman" w:cs="Calibri"/>
                <w:kern w:val="0"/>
                <w14:ligatures w14:val="none"/>
              </w:rPr>
              <w:t xml:space="preserve"> its “</w:t>
            </w:r>
            <w:r w:rsidRPr="001B7CA8">
              <w:rPr>
                <w:rFonts w:eastAsia="Times New Roman" w:cs="Calibri"/>
                <w:i/>
                <w:iCs/>
                <w:kern w:val="0"/>
                <w14:ligatures w14:val="none"/>
              </w:rPr>
              <w:t>very encouraging</w:t>
            </w:r>
            <w:r w:rsidRPr="00D65D28">
              <w:rPr>
                <w:rFonts w:eastAsia="Times New Roman" w:cs="Calibri"/>
                <w:kern w:val="0"/>
                <w14:ligatures w14:val="none"/>
              </w:rPr>
              <w:t xml:space="preserve">” data at </w:t>
            </w:r>
            <w:r w:rsidRPr="00B753C5">
              <w:rPr>
                <w:rFonts w:eastAsia="Times New Roman" w:cs="Calibri"/>
                <w:kern w:val="0"/>
                <w:highlight w:val="yellow"/>
                <w14:ligatures w14:val="none"/>
              </w:rPr>
              <w:t>ESMO 2024 in both PD-L1 positive and negative patients in combination with chemotherapy</w:t>
            </w:r>
            <w:r w:rsidR="00B753C5">
              <w:rPr>
                <w:rFonts w:eastAsia="Times New Roman" w:cs="Calibri"/>
                <w:kern w:val="0"/>
                <w14:ligatures w14:val="none"/>
              </w:rPr>
              <w:t xml:space="preserve"> </w:t>
            </w:r>
            <w:r w:rsidR="00B753C5" w:rsidRPr="00B55C51">
              <w:rPr>
                <w:rFonts w:eastAsia="Times New Roman" w:cs="Calibri"/>
                <w:color w:val="FF0000"/>
                <w:kern w:val="0"/>
                <w14:ligatures w14:val="none"/>
              </w:rPr>
              <w:t xml:space="preserve">[[Kate to </w:t>
            </w:r>
            <w:r w:rsidR="00B55C51" w:rsidRPr="00B55C51">
              <w:rPr>
                <w:rFonts w:eastAsia="Times New Roman" w:cs="Calibri"/>
                <w:color w:val="FF0000"/>
                <w:kern w:val="0"/>
                <w14:ligatures w14:val="none"/>
              </w:rPr>
              <w:t>add cross trial comparison of the two agents once data received]]</w:t>
            </w:r>
            <w:r w:rsidRPr="00B55C51">
              <w:rPr>
                <w:rFonts w:eastAsia="Times New Roman" w:cs="Calibri"/>
                <w:color w:val="FF0000"/>
                <w:kern w:val="0"/>
                <w14:ligatures w14:val="none"/>
              </w:rPr>
              <w:t xml:space="preserve"> </w:t>
            </w:r>
          </w:p>
          <w:p w14:paraId="489ECDEF" w14:textId="77777777" w:rsidR="00D65D28" w:rsidRPr="00D65D28" w:rsidRDefault="00D65D28" w:rsidP="00D65D28">
            <w:pPr>
              <w:numPr>
                <w:ilvl w:val="0"/>
                <w:numId w:val="33"/>
              </w:numPr>
              <w:contextualSpacing/>
              <w:rPr>
                <w:rFonts w:eastAsia="Times New Roman" w:cs="Calibri"/>
                <w:kern w:val="0"/>
                <w14:ligatures w14:val="none"/>
              </w:rPr>
            </w:pPr>
            <w:r w:rsidRPr="00D65D28">
              <w:rPr>
                <w:rFonts w:eastAsia="Times New Roman" w:cs="Calibri"/>
                <w:kern w:val="0"/>
                <w14:ligatures w14:val="none"/>
              </w:rPr>
              <w:t xml:space="preserve">When asked to compare the molecular design of BNT327 to Summit and Merck’s </w:t>
            </w:r>
            <w:proofErr w:type="spellStart"/>
            <w:r w:rsidRPr="00D65D28">
              <w:rPr>
                <w:rFonts w:eastAsia="Times New Roman" w:cs="Calibri"/>
                <w:kern w:val="0"/>
                <w14:ligatures w14:val="none"/>
              </w:rPr>
              <w:t>bispecifics</w:t>
            </w:r>
            <w:proofErr w:type="spellEnd"/>
            <w:r w:rsidRPr="00D65D28">
              <w:rPr>
                <w:rFonts w:eastAsia="Times New Roman" w:cs="Calibri"/>
                <w:kern w:val="0"/>
                <w14:ligatures w14:val="none"/>
              </w:rPr>
              <w:t>, BNTX offered:</w:t>
            </w:r>
          </w:p>
          <w:p w14:paraId="0F4F350D" w14:textId="494F3553" w:rsidR="00D65D28" w:rsidRPr="002746CA" w:rsidRDefault="00D65D28" w:rsidP="00643ECF">
            <w:pPr>
              <w:numPr>
                <w:ilvl w:val="1"/>
                <w:numId w:val="33"/>
              </w:numPr>
              <w:contextualSpacing/>
              <w:rPr>
                <w:rFonts w:eastAsia="Times New Roman" w:cs="Calibri"/>
                <w:color w:val="FF0000"/>
                <w:kern w:val="0"/>
                <w14:ligatures w14:val="none"/>
              </w:rPr>
            </w:pPr>
            <w:r w:rsidRPr="00D65D28">
              <w:rPr>
                <w:rFonts w:eastAsia="Times New Roman" w:cs="Calibri"/>
                <w:kern w:val="0"/>
                <w14:ligatures w14:val="none"/>
              </w:rPr>
              <w:t>“</w:t>
            </w:r>
            <w:r w:rsidRPr="002854EA">
              <w:rPr>
                <w:rFonts w:eastAsia="Times New Roman" w:cs="Calibri"/>
                <w:i/>
                <w:iCs/>
                <w:kern w:val="0"/>
                <w14:ligatures w14:val="none"/>
              </w:rPr>
              <w:t xml:space="preserve">We have deliberately chosen </w:t>
            </w:r>
            <w:r w:rsidR="00CD34DF">
              <w:rPr>
                <w:rFonts w:eastAsia="Times New Roman" w:cs="Calibri"/>
                <w:i/>
                <w:iCs/>
                <w:kern w:val="0"/>
                <w14:ligatures w14:val="none"/>
              </w:rPr>
              <w:t>…</w:t>
            </w:r>
            <w:r w:rsidRPr="002854EA">
              <w:rPr>
                <w:rFonts w:eastAsia="Times New Roman" w:cs="Calibri"/>
                <w:i/>
                <w:iCs/>
                <w:kern w:val="0"/>
                <w14:ligatures w14:val="none"/>
              </w:rPr>
              <w:t>PD-L1 versus the PD-1 because we expect from PD-L1 that it might be superior to PD-1 in anchoring</w:t>
            </w:r>
            <w:proofErr w:type="gramStart"/>
            <w:r w:rsidRPr="002854EA">
              <w:rPr>
                <w:rFonts w:eastAsia="Times New Roman" w:cs="Calibri"/>
                <w:i/>
                <w:iCs/>
                <w:kern w:val="0"/>
                <w14:ligatures w14:val="none"/>
              </w:rPr>
              <w:t>, in particular, in</w:t>
            </w:r>
            <w:proofErr w:type="gramEnd"/>
            <w:r w:rsidRPr="002854EA">
              <w:rPr>
                <w:rFonts w:eastAsia="Times New Roman" w:cs="Calibri"/>
                <w:i/>
                <w:iCs/>
                <w:kern w:val="0"/>
                <w14:ligatures w14:val="none"/>
              </w:rPr>
              <w:t xml:space="preserve"> the tumor microenvironment where we want to have the bispecific. </w:t>
            </w:r>
            <w:proofErr w:type="gramStart"/>
            <w:r w:rsidRPr="002854EA">
              <w:rPr>
                <w:rFonts w:eastAsia="Times New Roman" w:cs="Calibri"/>
                <w:i/>
                <w:iCs/>
                <w:kern w:val="0"/>
                <w14:ligatures w14:val="none"/>
              </w:rPr>
              <w:t>And also</w:t>
            </w:r>
            <w:proofErr w:type="gramEnd"/>
            <w:r w:rsidRPr="002854EA">
              <w:rPr>
                <w:rFonts w:eastAsia="Times New Roman" w:cs="Calibri"/>
                <w:i/>
                <w:iCs/>
                <w:kern w:val="0"/>
                <w14:ligatures w14:val="none"/>
              </w:rPr>
              <w:t xml:space="preserve">, the molecular format with a </w:t>
            </w:r>
            <w:r w:rsidRPr="002746CA">
              <w:rPr>
                <w:rFonts w:eastAsia="Times New Roman" w:cs="Calibri"/>
                <w:i/>
                <w:iCs/>
                <w:kern w:val="0"/>
                <w:highlight w:val="yellow"/>
                <w14:ligatures w14:val="none"/>
              </w:rPr>
              <w:t>full – an IgG VEGF – anti-VEGF portion and VHH PD-L1 portion was compelling to us because we think that we get the right pattern of cross-ligation in the tumor microenvironment</w:t>
            </w:r>
            <w:r w:rsidRPr="002746CA">
              <w:rPr>
                <w:rFonts w:eastAsia="Times New Roman" w:cs="Calibri"/>
                <w:kern w:val="0"/>
                <w:highlight w:val="yellow"/>
                <w14:ligatures w14:val="none"/>
              </w:rPr>
              <w:t>.”</w:t>
            </w:r>
            <w:r w:rsidRPr="00D65D28">
              <w:rPr>
                <w:rFonts w:eastAsia="Times New Roman" w:cs="Calibri"/>
                <w:kern w:val="0"/>
                <w14:ligatures w14:val="none"/>
              </w:rPr>
              <w:t xml:space="preserve"> </w:t>
            </w:r>
            <w:r w:rsidR="002746CA" w:rsidRPr="002746CA">
              <w:rPr>
                <w:rFonts w:eastAsia="Times New Roman" w:cs="Calibri"/>
                <w:color w:val="FF0000"/>
                <w:kern w:val="0"/>
                <w14:ligatures w14:val="none"/>
              </w:rPr>
              <w:t>[[Kate to clarify]]</w:t>
            </w:r>
          </w:p>
          <w:p w14:paraId="3D6F44B6" w14:textId="77777777" w:rsidR="004E4B0E" w:rsidRDefault="004E4B0E" w:rsidP="004E4B0E">
            <w:pPr>
              <w:contextualSpacing/>
              <w:rPr>
                <w:rFonts w:eastAsia="Times New Roman" w:cs="Calibri"/>
                <w:kern w:val="0"/>
                <w14:ligatures w14:val="none"/>
              </w:rPr>
            </w:pPr>
          </w:p>
          <w:p w14:paraId="731E914E" w14:textId="6E7E9E2A" w:rsidR="0072742E" w:rsidRDefault="007B2223" w:rsidP="00106132">
            <w:pPr>
              <w:spacing w:line="252" w:lineRule="auto"/>
              <w:rPr>
                <w:b/>
                <w:bCs/>
                <w:color w:val="002060"/>
              </w:rPr>
            </w:pPr>
            <w:r w:rsidRPr="007B2223">
              <w:rPr>
                <w:b/>
                <w:bCs/>
                <w:color w:val="002060"/>
              </w:rPr>
              <w:t xml:space="preserve">BNTX provided an update to its global P3 </w:t>
            </w:r>
            <w:r w:rsidR="0045562C">
              <w:rPr>
                <w:b/>
                <w:bCs/>
                <w:color w:val="002060"/>
              </w:rPr>
              <w:t xml:space="preserve">in 1L </w:t>
            </w:r>
            <w:r w:rsidR="004D3B6C">
              <w:rPr>
                <w:b/>
                <w:bCs/>
                <w:color w:val="002060"/>
              </w:rPr>
              <w:t xml:space="preserve">non-oncogene </w:t>
            </w:r>
            <w:r w:rsidR="0045562C">
              <w:rPr>
                <w:b/>
                <w:bCs/>
                <w:color w:val="002060"/>
              </w:rPr>
              <w:t xml:space="preserve">NSCLC: </w:t>
            </w:r>
            <w:hyperlink r:id="rId12" w:history="1">
              <w:r w:rsidRPr="004D3B6C">
                <w:rPr>
                  <w:rStyle w:val="Hyperlink"/>
                  <w:b/>
                  <w:bCs/>
                </w:rPr>
                <w:t>ROSETTA_Lung-02</w:t>
              </w:r>
            </w:hyperlink>
            <w:r w:rsidRPr="007B2223">
              <w:rPr>
                <w:b/>
                <w:bCs/>
                <w:color w:val="002060"/>
              </w:rPr>
              <w:t xml:space="preserve"> </w:t>
            </w:r>
            <w:r w:rsidR="004D3B6C">
              <w:rPr>
                <w:b/>
                <w:bCs/>
                <w:color w:val="002060"/>
              </w:rPr>
              <w:t>of</w:t>
            </w:r>
            <w:r w:rsidRPr="007B2223">
              <w:rPr>
                <w:b/>
                <w:bCs/>
                <w:color w:val="002060"/>
              </w:rPr>
              <w:t xml:space="preserve"> BNT327 + </w:t>
            </w:r>
            <w:r w:rsidR="004D3B6C">
              <w:rPr>
                <w:b/>
                <w:bCs/>
                <w:color w:val="002060"/>
              </w:rPr>
              <w:t>CT</w:t>
            </w:r>
            <w:r w:rsidRPr="007B2223">
              <w:rPr>
                <w:b/>
                <w:bCs/>
                <w:color w:val="002060"/>
              </w:rPr>
              <w:t xml:space="preserve"> vs SOC pembrolizumab + </w:t>
            </w:r>
            <w:r w:rsidR="004D3B6C">
              <w:rPr>
                <w:b/>
                <w:bCs/>
                <w:color w:val="002060"/>
              </w:rPr>
              <w:t>CT</w:t>
            </w:r>
            <w:r w:rsidR="005F4FAC">
              <w:rPr>
                <w:b/>
                <w:bCs/>
                <w:color w:val="002060"/>
              </w:rPr>
              <w:t xml:space="preserve">, which is enrolling </w:t>
            </w:r>
          </w:p>
          <w:p w14:paraId="087D3FA0" w14:textId="77777777" w:rsidR="007B2223" w:rsidRDefault="007B2223" w:rsidP="00106132">
            <w:pPr>
              <w:spacing w:line="252" w:lineRule="auto"/>
              <w:rPr>
                <w:b/>
                <w:bCs/>
                <w:color w:val="002060"/>
              </w:rPr>
            </w:pPr>
          </w:p>
          <w:p w14:paraId="5F942D47" w14:textId="77777777" w:rsidR="006941D3" w:rsidRPr="006941D3" w:rsidRDefault="006941D3" w:rsidP="006941D3">
            <w:pPr>
              <w:pStyle w:val="ListParagraph"/>
              <w:numPr>
                <w:ilvl w:val="0"/>
                <w:numId w:val="36"/>
              </w:numPr>
              <w:spacing w:line="252" w:lineRule="auto"/>
              <w:rPr>
                <w:rFonts w:eastAsia="Times New Roman" w:cs="Calibri"/>
                <w:kern w:val="0"/>
                <w14:ligatures w14:val="none"/>
              </w:rPr>
            </w:pPr>
            <w:r w:rsidRPr="006941D3">
              <w:rPr>
                <w:rFonts w:eastAsia="Times New Roman" w:cs="Calibri"/>
                <w:kern w:val="0"/>
                <w14:ligatures w14:val="none"/>
              </w:rPr>
              <w:lastRenderedPageBreak/>
              <w:t>Q1 update: Recall the trial launched in January 2025 and the P2 portion is now enrolling. Management expects progression into P3 portion in 2025. The complete trial design will be presented at ASCO</w:t>
            </w:r>
          </w:p>
          <w:p w14:paraId="5299F6ED" w14:textId="77777777" w:rsidR="006941D3" w:rsidRPr="006941D3" w:rsidRDefault="006941D3" w:rsidP="006941D3">
            <w:pPr>
              <w:pStyle w:val="ListParagraph"/>
              <w:numPr>
                <w:ilvl w:val="0"/>
                <w:numId w:val="36"/>
              </w:numPr>
              <w:spacing w:line="252" w:lineRule="auto"/>
              <w:rPr>
                <w:rFonts w:eastAsia="Times New Roman" w:cs="Calibri"/>
                <w:kern w:val="0"/>
                <w14:ligatures w14:val="none"/>
              </w:rPr>
            </w:pPr>
            <w:r w:rsidRPr="006941D3">
              <w:rPr>
                <w:rFonts w:eastAsia="Times New Roman" w:cs="Calibri"/>
                <w:kern w:val="0"/>
                <w14:ligatures w14:val="none"/>
              </w:rPr>
              <w:t xml:space="preserve">The trial is enrolling both NSQ and SQ </w:t>
            </w:r>
            <w:proofErr w:type="spellStart"/>
            <w:r w:rsidRPr="006941D3">
              <w:rPr>
                <w:rFonts w:eastAsia="Times New Roman" w:cs="Calibri"/>
                <w:kern w:val="0"/>
                <w14:ligatures w14:val="none"/>
              </w:rPr>
              <w:t>histologies</w:t>
            </w:r>
            <w:proofErr w:type="spellEnd"/>
            <w:r w:rsidRPr="006941D3">
              <w:rPr>
                <w:rFonts w:eastAsia="Times New Roman" w:cs="Calibri"/>
                <w:kern w:val="0"/>
                <w14:ligatures w14:val="none"/>
              </w:rPr>
              <w:t xml:space="preserve"> across all PD-L1 subgroups in two separately powered </w:t>
            </w:r>
            <w:proofErr w:type="spellStart"/>
            <w:r w:rsidRPr="006941D3">
              <w:rPr>
                <w:rFonts w:eastAsia="Times New Roman" w:cs="Calibri"/>
                <w:kern w:val="0"/>
                <w14:ligatures w14:val="none"/>
              </w:rPr>
              <w:t>substudies</w:t>
            </w:r>
            <w:proofErr w:type="spellEnd"/>
            <w:r w:rsidRPr="006941D3">
              <w:rPr>
                <w:rFonts w:eastAsia="Times New Roman" w:cs="Calibri"/>
                <w:kern w:val="0"/>
                <w14:ligatures w14:val="none"/>
              </w:rPr>
              <w:t xml:space="preserve"> </w:t>
            </w:r>
          </w:p>
          <w:p w14:paraId="77A2BEC8" w14:textId="77777777" w:rsidR="006941D3" w:rsidRPr="006941D3" w:rsidRDefault="006941D3" w:rsidP="006941D3">
            <w:pPr>
              <w:pStyle w:val="ListParagraph"/>
              <w:numPr>
                <w:ilvl w:val="0"/>
                <w:numId w:val="36"/>
              </w:numPr>
              <w:spacing w:line="252" w:lineRule="auto"/>
              <w:rPr>
                <w:rFonts w:eastAsia="Times New Roman" w:cs="Calibri"/>
                <w:kern w:val="0"/>
                <w14:ligatures w14:val="none"/>
              </w:rPr>
            </w:pPr>
            <w:r w:rsidRPr="006941D3">
              <w:rPr>
                <w:rFonts w:eastAsia="Times New Roman" w:cs="Calibri"/>
                <w:kern w:val="0"/>
                <w14:ligatures w14:val="none"/>
              </w:rPr>
              <w:t xml:space="preserve">The trial has a P2 component (n=40) to establish the P3 dose </w:t>
            </w:r>
          </w:p>
          <w:p w14:paraId="397DF2F2" w14:textId="77777777" w:rsidR="006941D3" w:rsidRDefault="006941D3" w:rsidP="006941D3">
            <w:pPr>
              <w:pStyle w:val="ListParagraph"/>
              <w:numPr>
                <w:ilvl w:val="0"/>
                <w:numId w:val="36"/>
              </w:numPr>
              <w:spacing w:line="252" w:lineRule="auto"/>
              <w:rPr>
                <w:rFonts w:eastAsia="Times New Roman" w:cs="Calibri"/>
                <w:kern w:val="0"/>
                <w14:ligatures w14:val="none"/>
              </w:rPr>
            </w:pPr>
            <w:r w:rsidRPr="006941D3">
              <w:rPr>
                <w:rFonts w:eastAsia="Times New Roman" w:cs="Calibri"/>
                <w:kern w:val="0"/>
                <w14:ligatures w14:val="none"/>
              </w:rPr>
              <w:t>The randomized P3 portion (n=942) has two co-primary endpoints: PFS and OS</w:t>
            </w:r>
          </w:p>
          <w:p w14:paraId="19CACFA0" w14:textId="77777777" w:rsidR="00676E61" w:rsidRDefault="00676E61" w:rsidP="00676E61">
            <w:pPr>
              <w:pStyle w:val="ListParagraph"/>
              <w:spacing w:line="252" w:lineRule="auto"/>
              <w:rPr>
                <w:rFonts w:eastAsia="Times New Roman" w:cs="Calibri"/>
                <w:kern w:val="0"/>
                <w14:ligatures w14:val="none"/>
              </w:rPr>
            </w:pPr>
          </w:p>
          <w:p w14:paraId="2770F8F7" w14:textId="77777777" w:rsidR="003F0A61" w:rsidRPr="006941D3" w:rsidRDefault="003F0A61" w:rsidP="003F0A61">
            <w:pPr>
              <w:pStyle w:val="ListParagraph"/>
              <w:spacing w:line="252" w:lineRule="auto"/>
              <w:rPr>
                <w:rFonts w:eastAsia="Times New Roman" w:cs="Calibri"/>
                <w:kern w:val="0"/>
                <w14:ligatures w14:val="none"/>
              </w:rPr>
            </w:pPr>
          </w:p>
          <w:p w14:paraId="58250792" w14:textId="76B19C89" w:rsidR="00A143FA" w:rsidRPr="00A143FA" w:rsidRDefault="003F0A61" w:rsidP="00A143FA">
            <w:pPr>
              <w:ind w:left="360"/>
              <w:rPr>
                <w:rFonts w:cs="Calibri"/>
              </w:rPr>
            </w:pPr>
            <w:r>
              <w:rPr>
                <w:rFonts w:cs="Calibri"/>
                <w:noProof/>
              </w:rPr>
              <w:drawing>
                <wp:inline distT="0" distB="0" distL="0" distR="0" wp14:anchorId="5776E680" wp14:editId="3D6C16C0">
                  <wp:extent cx="5944235" cy="2707005"/>
                  <wp:effectExtent l="0" t="0" r="0" b="0"/>
                  <wp:docPr id="12140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2707005"/>
                          </a:xfrm>
                          <a:prstGeom prst="rect">
                            <a:avLst/>
                          </a:prstGeom>
                          <a:noFill/>
                        </pic:spPr>
                      </pic:pic>
                    </a:graphicData>
                  </a:graphic>
                </wp:inline>
              </w:drawing>
            </w:r>
          </w:p>
          <w:p w14:paraId="3CDE85F7" w14:textId="77777777" w:rsidR="003C3FA7" w:rsidRDefault="003C3FA7" w:rsidP="007F7A9C">
            <w:pPr>
              <w:spacing w:line="252" w:lineRule="auto"/>
              <w:rPr>
                <w:b/>
                <w:bCs/>
                <w:color w:val="002060"/>
              </w:rPr>
            </w:pPr>
          </w:p>
          <w:p w14:paraId="276431ED" w14:textId="48B356A0" w:rsidR="007F7A9C" w:rsidRDefault="007F7A9C" w:rsidP="007F7A9C">
            <w:pPr>
              <w:spacing w:line="252" w:lineRule="auto"/>
              <w:rPr>
                <w:b/>
                <w:bCs/>
                <w:color w:val="002060"/>
              </w:rPr>
            </w:pPr>
            <w:r w:rsidRPr="007F7A9C">
              <w:rPr>
                <w:b/>
                <w:bCs/>
                <w:color w:val="002060"/>
              </w:rPr>
              <w:t xml:space="preserve">When asked about </w:t>
            </w:r>
            <w:proofErr w:type="spellStart"/>
            <w:r w:rsidRPr="007F7A9C">
              <w:rPr>
                <w:b/>
                <w:bCs/>
                <w:color w:val="002060"/>
              </w:rPr>
              <w:t>Akeso</w:t>
            </w:r>
            <w:proofErr w:type="spellEnd"/>
            <w:r w:rsidRPr="007F7A9C">
              <w:rPr>
                <w:b/>
                <w:bCs/>
                <w:color w:val="002060"/>
              </w:rPr>
              <w:t xml:space="preserve">/Summit’s </w:t>
            </w:r>
            <w:r w:rsidR="00023DA6">
              <w:rPr>
                <w:b/>
                <w:bCs/>
                <w:color w:val="002060"/>
              </w:rPr>
              <w:t>news of</w:t>
            </w:r>
            <w:r w:rsidRPr="007F7A9C">
              <w:rPr>
                <w:b/>
                <w:bCs/>
                <w:color w:val="002060"/>
              </w:rPr>
              <w:t xml:space="preserve"> </w:t>
            </w:r>
            <w:proofErr w:type="spellStart"/>
            <w:r w:rsidRPr="007F7A9C">
              <w:rPr>
                <w:b/>
                <w:bCs/>
                <w:color w:val="002060"/>
              </w:rPr>
              <w:t>ivonescimab</w:t>
            </w:r>
            <w:proofErr w:type="spellEnd"/>
            <w:r w:rsidRPr="007F7A9C">
              <w:rPr>
                <w:b/>
                <w:bCs/>
                <w:color w:val="002060"/>
              </w:rPr>
              <w:t xml:space="preserve"> (</w:t>
            </w:r>
            <w:r w:rsidR="004A6EA0">
              <w:rPr>
                <w:b/>
                <w:bCs/>
                <w:color w:val="002060"/>
              </w:rPr>
              <w:t xml:space="preserve">PD-1/VEGF </w:t>
            </w:r>
            <w:proofErr w:type="spellStart"/>
            <w:r w:rsidR="004A6EA0">
              <w:rPr>
                <w:b/>
                <w:bCs/>
                <w:color w:val="002060"/>
              </w:rPr>
              <w:t>bsAb</w:t>
            </w:r>
            <w:proofErr w:type="spellEnd"/>
            <w:r w:rsidR="004A6EA0">
              <w:rPr>
                <w:b/>
                <w:bCs/>
                <w:color w:val="002060"/>
              </w:rPr>
              <w:t xml:space="preserve">) </w:t>
            </w:r>
            <w:r w:rsidR="007D7EB1">
              <w:rPr>
                <w:b/>
                <w:bCs/>
                <w:color w:val="002060"/>
              </w:rPr>
              <w:t xml:space="preserve">trending </w:t>
            </w:r>
            <w:r w:rsidR="0076005F">
              <w:rPr>
                <w:b/>
                <w:bCs/>
                <w:color w:val="002060"/>
              </w:rPr>
              <w:t xml:space="preserve">OS benefit </w:t>
            </w:r>
            <w:r w:rsidR="007D7EB1">
              <w:rPr>
                <w:b/>
                <w:bCs/>
                <w:color w:val="002060"/>
              </w:rPr>
              <w:t>at early interim in</w:t>
            </w:r>
            <w:r w:rsidR="0076005F">
              <w:rPr>
                <w:b/>
                <w:bCs/>
                <w:color w:val="002060"/>
              </w:rPr>
              <w:t xml:space="preserve"> 1L </w:t>
            </w:r>
            <w:r w:rsidR="00EE183D" w:rsidRPr="00EE183D">
              <w:rPr>
                <w:b/>
                <w:bCs/>
                <w:color w:val="002060"/>
              </w:rPr>
              <w:t>PD-L1≥1%</w:t>
            </w:r>
            <w:r w:rsidR="00EE183D">
              <w:rPr>
                <w:b/>
                <w:bCs/>
                <w:color w:val="002060"/>
              </w:rPr>
              <w:t xml:space="preserve"> i</w:t>
            </w:r>
            <w:r w:rsidR="0076005F">
              <w:rPr>
                <w:b/>
                <w:bCs/>
                <w:color w:val="002060"/>
              </w:rPr>
              <w:t>n China</w:t>
            </w:r>
            <w:r w:rsidR="004A6EA0">
              <w:rPr>
                <w:b/>
                <w:bCs/>
                <w:color w:val="002060"/>
              </w:rPr>
              <w:t xml:space="preserve"> P3</w:t>
            </w:r>
            <w:r w:rsidRPr="007F7A9C">
              <w:rPr>
                <w:b/>
                <w:bCs/>
                <w:color w:val="002060"/>
              </w:rPr>
              <w:t xml:space="preserve">, BNTX </w:t>
            </w:r>
            <w:r w:rsidR="006F290C">
              <w:rPr>
                <w:b/>
                <w:bCs/>
                <w:color w:val="002060"/>
              </w:rPr>
              <w:t>said</w:t>
            </w:r>
            <w:r w:rsidRPr="007F7A9C">
              <w:rPr>
                <w:b/>
                <w:bCs/>
                <w:color w:val="002060"/>
              </w:rPr>
              <w:t xml:space="preserve"> </w:t>
            </w:r>
            <w:proofErr w:type="spellStart"/>
            <w:r w:rsidR="006B6317">
              <w:rPr>
                <w:b/>
                <w:bCs/>
                <w:color w:val="002060"/>
              </w:rPr>
              <w:t>the</w:t>
            </w:r>
            <w:proofErr w:type="spellEnd"/>
            <w:r w:rsidR="006B6317">
              <w:rPr>
                <w:b/>
                <w:bCs/>
                <w:color w:val="002060"/>
              </w:rPr>
              <w:t xml:space="preserve"> news</w:t>
            </w:r>
            <w:r w:rsidRPr="007F7A9C">
              <w:rPr>
                <w:b/>
                <w:bCs/>
                <w:color w:val="002060"/>
              </w:rPr>
              <w:t xml:space="preserve"> </w:t>
            </w:r>
            <w:r w:rsidR="006F290C">
              <w:rPr>
                <w:b/>
                <w:bCs/>
                <w:color w:val="002060"/>
              </w:rPr>
              <w:t>is</w:t>
            </w:r>
            <w:r w:rsidRPr="007F7A9C">
              <w:rPr>
                <w:b/>
                <w:bCs/>
                <w:color w:val="002060"/>
              </w:rPr>
              <w:t xml:space="preserve"> “</w:t>
            </w:r>
            <w:r w:rsidRPr="006B6317">
              <w:rPr>
                <w:b/>
                <w:bCs/>
                <w:i/>
                <w:iCs/>
                <w:color w:val="002060"/>
              </w:rPr>
              <w:t>very encouraging</w:t>
            </w:r>
            <w:r w:rsidR="006F290C">
              <w:rPr>
                <w:b/>
                <w:bCs/>
                <w:i/>
                <w:iCs/>
                <w:color w:val="002060"/>
              </w:rPr>
              <w:t>.</w:t>
            </w:r>
            <w:r w:rsidRPr="007F7A9C">
              <w:rPr>
                <w:b/>
                <w:bCs/>
                <w:color w:val="002060"/>
              </w:rPr>
              <w:t xml:space="preserve">” </w:t>
            </w:r>
            <w:proofErr w:type="spellStart"/>
            <w:r w:rsidR="00922BED">
              <w:rPr>
                <w:b/>
                <w:bCs/>
                <w:color w:val="002060"/>
              </w:rPr>
              <w:t>Akeso’s</w:t>
            </w:r>
            <w:proofErr w:type="spellEnd"/>
            <w:r w:rsidR="00922BED">
              <w:rPr>
                <w:b/>
                <w:bCs/>
                <w:color w:val="002060"/>
              </w:rPr>
              <w:t xml:space="preserve"> study</w:t>
            </w:r>
            <w:r w:rsidRPr="007F7A9C">
              <w:rPr>
                <w:b/>
                <w:bCs/>
                <w:color w:val="002060"/>
              </w:rPr>
              <w:t xml:space="preserve"> “</w:t>
            </w:r>
            <w:r w:rsidRPr="002C4FA8">
              <w:rPr>
                <w:b/>
                <w:bCs/>
                <w:i/>
                <w:iCs/>
                <w:color w:val="002060"/>
              </w:rPr>
              <w:t>has no direct impact</w:t>
            </w:r>
            <w:r w:rsidRPr="007F7A9C">
              <w:rPr>
                <w:b/>
                <w:bCs/>
                <w:color w:val="002060"/>
              </w:rPr>
              <w:t xml:space="preserve">” on </w:t>
            </w:r>
            <w:r w:rsidR="0076005F">
              <w:rPr>
                <w:b/>
                <w:bCs/>
                <w:color w:val="002060"/>
              </w:rPr>
              <w:t>BNTX</w:t>
            </w:r>
            <w:r w:rsidRPr="007F7A9C">
              <w:rPr>
                <w:b/>
                <w:bCs/>
                <w:color w:val="002060"/>
              </w:rPr>
              <w:t xml:space="preserve"> NSCLC program, </w:t>
            </w:r>
            <w:r w:rsidR="00EE183D">
              <w:rPr>
                <w:b/>
                <w:bCs/>
                <w:color w:val="002060"/>
              </w:rPr>
              <w:t>because</w:t>
            </w:r>
            <w:r w:rsidRPr="007F7A9C">
              <w:rPr>
                <w:b/>
                <w:bCs/>
                <w:color w:val="002060"/>
              </w:rPr>
              <w:t xml:space="preserve"> ROSETTA-Lung02 is in combo with chemotherapy</w:t>
            </w:r>
            <w:r w:rsidR="002C4FA8">
              <w:rPr>
                <w:b/>
                <w:bCs/>
                <w:color w:val="002060"/>
              </w:rPr>
              <w:t xml:space="preserve"> and in a “different population”</w:t>
            </w:r>
            <w:r w:rsidR="00922BED">
              <w:rPr>
                <w:b/>
                <w:bCs/>
                <w:color w:val="002060"/>
              </w:rPr>
              <w:t xml:space="preserve"> </w:t>
            </w:r>
            <w:r w:rsidR="005B7A5B">
              <w:rPr>
                <w:b/>
                <w:bCs/>
                <w:color w:val="002060"/>
              </w:rPr>
              <w:t>(PD-L1 all comers vs</w:t>
            </w:r>
            <w:r w:rsidR="005158CB">
              <w:rPr>
                <w:b/>
                <w:bCs/>
                <w:color w:val="002060"/>
              </w:rPr>
              <w:t xml:space="preserve"> </w:t>
            </w:r>
            <w:proofErr w:type="spellStart"/>
            <w:r w:rsidR="00BE58A7">
              <w:rPr>
                <w:b/>
                <w:bCs/>
                <w:color w:val="002060"/>
              </w:rPr>
              <w:t>Akeso’s</w:t>
            </w:r>
            <w:proofErr w:type="spellEnd"/>
            <w:r w:rsidR="00BE58A7">
              <w:rPr>
                <w:b/>
                <w:bCs/>
                <w:color w:val="002060"/>
              </w:rPr>
              <w:t xml:space="preserve"> </w:t>
            </w:r>
            <w:r w:rsidR="005B7A5B">
              <w:rPr>
                <w:b/>
                <w:bCs/>
                <w:color w:val="002060"/>
              </w:rPr>
              <w:t xml:space="preserve">in </w:t>
            </w:r>
            <w:r w:rsidR="00BE58A7">
              <w:rPr>
                <w:b/>
                <w:bCs/>
                <w:color w:val="002060"/>
              </w:rPr>
              <w:t>PD-L1≥1%)</w:t>
            </w:r>
          </w:p>
          <w:p w14:paraId="1E486C49" w14:textId="77777777" w:rsidR="007F7A9C" w:rsidRDefault="007F7A9C" w:rsidP="007F7A9C">
            <w:pPr>
              <w:ind w:left="360"/>
              <w:contextualSpacing/>
              <w:rPr>
                <w:b/>
                <w:bCs/>
                <w:color w:val="002060"/>
              </w:rPr>
            </w:pPr>
          </w:p>
          <w:p w14:paraId="488E200F" w14:textId="77777777" w:rsidR="007F7A9C" w:rsidRDefault="007F7A9C" w:rsidP="007F7A9C">
            <w:pPr>
              <w:ind w:left="360"/>
              <w:contextualSpacing/>
              <w:rPr>
                <w:b/>
                <w:bCs/>
                <w:color w:val="002060"/>
              </w:rPr>
            </w:pPr>
          </w:p>
          <w:p w14:paraId="354FDFD9" w14:textId="77777777" w:rsidR="003C3FA7" w:rsidRDefault="003C3FA7" w:rsidP="003C3FA7">
            <w:pPr>
              <w:ind w:left="360"/>
              <w:contextualSpacing/>
            </w:pPr>
            <w:r>
              <w:t>Other Commentary:</w:t>
            </w:r>
          </w:p>
          <w:p w14:paraId="544B5DD9" w14:textId="77777777" w:rsidR="003C3FA7" w:rsidRDefault="003C3FA7" w:rsidP="003C3FA7">
            <w:pPr>
              <w:ind w:left="360"/>
              <w:contextualSpacing/>
            </w:pPr>
          </w:p>
          <w:p w14:paraId="6F6D207F" w14:textId="241D3F87" w:rsidR="003C3FA7" w:rsidRPr="00465959" w:rsidRDefault="003C3FA7" w:rsidP="00E850A3">
            <w:pPr>
              <w:pStyle w:val="ListParagraph"/>
              <w:numPr>
                <w:ilvl w:val="0"/>
                <w:numId w:val="36"/>
              </w:numPr>
              <w:spacing w:line="252" w:lineRule="auto"/>
              <w:rPr>
                <w:rFonts w:eastAsia="Times New Roman" w:cs="Calibri"/>
                <w:kern w:val="0"/>
                <w14:ligatures w14:val="none"/>
              </w:rPr>
            </w:pPr>
            <w:r w:rsidRPr="00465959">
              <w:rPr>
                <w:rFonts w:eastAsia="Times New Roman" w:cs="Calibri"/>
                <w:kern w:val="0"/>
                <w14:ligatures w14:val="none"/>
              </w:rPr>
              <w:t xml:space="preserve">BNTX plans to submit a BLA for its shared ADC with Duality Bio, BNT323 (HER2 Top1) in 2L endometrial cancer, </w:t>
            </w:r>
            <w:r w:rsidR="00B92C86" w:rsidRPr="00465959">
              <w:rPr>
                <w:rFonts w:eastAsia="Times New Roman" w:cs="Calibri"/>
                <w:kern w:val="0"/>
                <w14:ligatures w14:val="none"/>
              </w:rPr>
              <w:t>in</w:t>
            </w:r>
            <w:r w:rsidRPr="00465959">
              <w:rPr>
                <w:rFonts w:eastAsia="Times New Roman" w:cs="Calibri"/>
                <w:kern w:val="0"/>
                <w14:ligatures w14:val="none"/>
              </w:rPr>
              <w:t xml:space="preserve"> 2025</w:t>
            </w:r>
            <w:r w:rsidR="00465959" w:rsidRPr="00465959">
              <w:rPr>
                <w:rFonts w:eastAsia="Times New Roman" w:cs="Calibri"/>
                <w:kern w:val="0"/>
                <w14:ligatures w14:val="none"/>
              </w:rPr>
              <w:t xml:space="preserve">. </w:t>
            </w:r>
            <w:r w:rsidRPr="00465959">
              <w:rPr>
                <w:rFonts w:eastAsia="Times New Roman" w:cs="Calibri"/>
                <w:kern w:val="0"/>
                <w14:ligatures w14:val="none"/>
              </w:rPr>
              <w:t>The asset is also in a P3 in TNBC</w:t>
            </w:r>
            <w:r w:rsidR="00EA6758">
              <w:rPr>
                <w:rFonts w:eastAsia="Times New Roman" w:cs="Calibri"/>
                <w:kern w:val="0"/>
                <w14:ligatures w14:val="none"/>
              </w:rPr>
              <w:t xml:space="preserve">. </w:t>
            </w:r>
          </w:p>
          <w:p w14:paraId="4B0E00D6" w14:textId="21FA1E13" w:rsidR="0039055F" w:rsidRPr="00EA6758" w:rsidRDefault="003C3FA7" w:rsidP="00C007B4">
            <w:pPr>
              <w:pStyle w:val="ListParagraph"/>
              <w:numPr>
                <w:ilvl w:val="0"/>
                <w:numId w:val="36"/>
              </w:numPr>
              <w:spacing w:line="252" w:lineRule="auto"/>
              <w:rPr>
                <w:b/>
                <w:bCs/>
                <w:color w:val="FF0000"/>
              </w:rPr>
            </w:pPr>
            <w:r w:rsidRPr="00C007B4">
              <w:rPr>
                <w:rFonts w:eastAsia="Times New Roman" w:cs="Calibri"/>
                <w:kern w:val="0"/>
                <w14:ligatures w14:val="none"/>
              </w:rPr>
              <w:t>Anticipating a 2026 launch, BNTX has begun expanding its commercial capabilities in oncology by establishing a global commercial leadership team and a U.S general</w:t>
            </w:r>
            <w:r>
              <w:t xml:space="preserve"> </w:t>
            </w:r>
            <w:proofErr w:type="gramStart"/>
            <w:r>
              <w:t>manager</w:t>
            </w:r>
            <w:r w:rsidR="00EA6758">
              <w:t xml:space="preserve"> </w:t>
            </w:r>
            <w:r w:rsidR="00EA6758" w:rsidRPr="00EA6758">
              <w:rPr>
                <w:color w:val="FF0000"/>
              </w:rPr>
              <w:t>[[</w:t>
            </w:r>
            <w:proofErr w:type="gramEnd"/>
            <w:r w:rsidR="00EA6758" w:rsidRPr="00EA6758">
              <w:rPr>
                <w:color w:val="FF0000"/>
              </w:rPr>
              <w:t>Kate the clarify which indication and if it’s a global launch]]</w:t>
            </w:r>
          </w:p>
          <w:p w14:paraId="437D01DC" w14:textId="77777777" w:rsidR="0072742E" w:rsidRDefault="0072742E" w:rsidP="002B7D68">
            <w:pPr>
              <w:spacing w:line="252" w:lineRule="auto"/>
              <w:rPr>
                <w:b/>
                <w:bCs/>
                <w:color w:val="002060"/>
              </w:rPr>
            </w:pPr>
          </w:p>
          <w:p w14:paraId="149B4283" w14:textId="77777777" w:rsidR="003630BA" w:rsidRPr="003630BA" w:rsidRDefault="003630BA" w:rsidP="003630BA">
            <w:pPr>
              <w:spacing w:line="252" w:lineRule="auto"/>
              <w:rPr>
                <w:b/>
                <w:bCs/>
                <w:color w:val="002060"/>
              </w:rPr>
            </w:pPr>
          </w:p>
          <w:p w14:paraId="6C09D287" w14:textId="77777777" w:rsidR="007E4C74" w:rsidRDefault="007E4C74" w:rsidP="007A2565">
            <w:pPr>
              <w:spacing w:line="252" w:lineRule="auto"/>
              <w:rPr>
                <w:noProof/>
              </w:rPr>
            </w:pPr>
          </w:p>
        </w:tc>
        <w:tc>
          <w:tcPr>
            <w:tcW w:w="604" w:type="dxa"/>
            <w:tcBorders>
              <w:left w:val="nil"/>
            </w:tcBorders>
          </w:tcPr>
          <w:p w14:paraId="4FDE8039" w14:textId="77777777" w:rsidR="007E4C74" w:rsidRDefault="007E4C74" w:rsidP="0019068D">
            <w:pPr>
              <w:jc w:val="center"/>
              <w:rPr>
                <w:noProof/>
              </w:rPr>
            </w:pPr>
          </w:p>
        </w:tc>
      </w:tr>
      <w:tr w:rsidR="00BC4F84" w14:paraId="6BC5301C" w14:textId="77777777" w:rsidTr="00C92713">
        <w:trPr>
          <w:trHeight w:val="440"/>
        </w:trPr>
        <w:tc>
          <w:tcPr>
            <w:tcW w:w="9360" w:type="dxa"/>
            <w:gridSpan w:val="3"/>
          </w:tcPr>
          <w:p w14:paraId="6B385942" w14:textId="4490BED2" w:rsidR="00BC4F84" w:rsidRDefault="00B25819" w:rsidP="0019068D">
            <w:pPr>
              <w:jc w:val="center"/>
              <w:rPr>
                <w:noProof/>
              </w:rPr>
            </w:pPr>
            <w:r w:rsidRPr="00B25819">
              <w:rPr>
                <w:noProof/>
              </w:rPr>
              <w:drawing>
                <wp:inline distT="0" distB="0" distL="0" distR="0" wp14:anchorId="7FF5458B" wp14:editId="7F79DBBB">
                  <wp:extent cx="1378021" cy="571529"/>
                  <wp:effectExtent l="0" t="0" r="0" b="0"/>
                  <wp:docPr id="13970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86921" name=""/>
                          <pic:cNvPicPr/>
                        </pic:nvPicPr>
                        <pic:blipFill>
                          <a:blip r:embed="rId14"/>
                          <a:stretch>
                            <a:fillRect/>
                          </a:stretch>
                        </pic:blipFill>
                        <pic:spPr>
                          <a:xfrm>
                            <a:off x="0" y="0"/>
                            <a:ext cx="1378021" cy="571529"/>
                          </a:xfrm>
                          <a:prstGeom prst="rect">
                            <a:avLst/>
                          </a:prstGeom>
                        </pic:spPr>
                      </pic:pic>
                    </a:graphicData>
                  </a:graphic>
                </wp:inline>
              </w:drawing>
            </w:r>
          </w:p>
        </w:tc>
      </w:tr>
      <w:tr w:rsidR="00F831BA" w14:paraId="4FBBD315" w14:textId="77777777" w:rsidTr="005C677E">
        <w:trPr>
          <w:trHeight w:val="440"/>
        </w:trPr>
        <w:tc>
          <w:tcPr>
            <w:tcW w:w="604" w:type="dxa"/>
          </w:tcPr>
          <w:p w14:paraId="4EBAF235" w14:textId="77777777" w:rsidR="00F831BA" w:rsidRDefault="00F831BA" w:rsidP="0087344F">
            <w:pPr>
              <w:spacing w:line="252" w:lineRule="auto"/>
              <w:ind w:left="720"/>
              <w:rPr>
                <w:rStyle w:val="normaltextrun"/>
                <w:rFonts w:ascii="Calibri" w:hAnsi="Calibri" w:cs="Calibri"/>
                <w:color w:val="000000"/>
                <w:shd w:val="clear" w:color="auto" w:fill="FFFFFF"/>
              </w:rPr>
            </w:pPr>
          </w:p>
        </w:tc>
        <w:tc>
          <w:tcPr>
            <w:tcW w:w="8152" w:type="dxa"/>
          </w:tcPr>
          <w:p w14:paraId="217AAED9" w14:textId="77777777" w:rsidR="006B4957" w:rsidRPr="006B4957" w:rsidRDefault="006B4957" w:rsidP="001C16C0">
            <w:pPr>
              <w:spacing w:line="252" w:lineRule="auto"/>
              <w:rPr>
                <w:rFonts w:cs="Calibri"/>
                <w:color w:val="0E2841"/>
              </w:rPr>
            </w:pPr>
          </w:p>
          <w:p w14:paraId="74EAA9ED" w14:textId="64656904" w:rsidR="00F831BA" w:rsidRPr="006B4957" w:rsidRDefault="006B4957" w:rsidP="001C16C0">
            <w:pPr>
              <w:spacing w:line="252" w:lineRule="auto"/>
              <w:rPr>
                <w:b/>
                <w:bCs/>
                <w:color w:val="002060"/>
              </w:rPr>
            </w:pPr>
            <w:r w:rsidRPr="006B4957">
              <w:rPr>
                <w:rFonts w:cs="Calibri"/>
                <w:color w:val="0E2841"/>
              </w:rPr>
              <w:t>Genmab announced its Q1 2025 earnings and held an accompanying investor call (</w:t>
            </w:r>
            <w:hyperlink r:id="rId15" w:history="1">
              <w:r w:rsidRPr="006B4957">
                <w:rPr>
                  <w:rStyle w:val="Hyperlink"/>
                  <w:rFonts w:cs="Calibri"/>
                </w:rPr>
                <w:t>presentation</w:t>
              </w:r>
            </w:hyperlink>
            <w:r w:rsidRPr="006B4957">
              <w:rPr>
                <w:rFonts w:cs="Calibri"/>
                <w:color w:val="0E2841"/>
              </w:rPr>
              <w:t xml:space="preserve"> | </w:t>
            </w:r>
            <w:hyperlink r:id="rId16" w:history="1">
              <w:r w:rsidRPr="006B4957">
                <w:rPr>
                  <w:rStyle w:val="Hyperlink"/>
                  <w:rFonts w:cs="Calibri"/>
                </w:rPr>
                <w:t>press release</w:t>
              </w:r>
            </w:hyperlink>
            <w:r w:rsidRPr="006B4957">
              <w:rPr>
                <w:rFonts w:cs="Calibri"/>
                <w:color w:val="0E2841"/>
              </w:rPr>
              <w:t>)</w:t>
            </w:r>
          </w:p>
        </w:tc>
        <w:tc>
          <w:tcPr>
            <w:tcW w:w="604" w:type="dxa"/>
          </w:tcPr>
          <w:p w14:paraId="6985DEA8" w14:textId="77777777" w:rsidR="00F831BA" w:rsidRDefault="00F831BA" w:rsidP="0087344F">
            <w:pPr>
              <w:spacing w:line="252" w:lineRule="auto"/>
              <w:ind w:left="720"/>
              <w:rPr>
                <w:rStyle w:val="normaltextrun"/>
                <w:rFonts w:ascii="Calibri" w:hAnsi="Calibri" w:cs="Calibri"/>
                <w:color w:val="000000"/>
                <w:shd w:val="clear" w:color="auto" w:fill="FFFFFF"/>
              </w:rPr>
            </w:pPr>
          </w:p>
        </w:tc>
      </w:tr>
      <w:tr w:rsidR="00F831BA" w14:paraId="0803CC2A" w14:textId="77777777" w:rsidTr="005C677E">
        <w:trPr>
          <w:trHeight w:val="440"/>
        </w:trPr>
        <w:tc>
          <w:tcPr>
            <w:tcW w:w="604" w:type="dxa"/>
          </w:tcPr>
          <w:p w14:paraId="2FB98391" w14:textId="77777777" w:rsidR="00F831BA" w:rsidRDefault="00F831BA" w:rsidP="0087344F">
            <w:pPr>
              <w:spacing w:line="252" w:lineRule="auto"/>
              <w:ind w:left="720"/>
              <w:rPr>
                <w:rStyle w:val="normaltextrun"/>
                <w:rFonts w:ascii="Calibri" w:hAnsi="Calibri" w:cs="Calibri"/>
                <w:color w:val="000000"/>
                <w:shd w:val="clear" w:color="auto" w:fill="FFFFFF"/>
              </w:rPr>
            </w:pPr>
          </w:p>
        </w:tc>
        <w:tc>
          <w:tcPr>
            <w:tcW w:w="8152" w:type="dxa"/>
          </w:tcPr>
          <w:p w14:paraId="7AF917E1" w14:textId="77777777" w:rsidR="00F831BA" w:rsidRPr="009441C5" w:rsidRDefault="00F831BA" w:rsidP="001C16C0">
            <w:pPr>
              <w:spacing w:line="252" w:lineRule="auto"/>
              <w:rPr>
                <w:rStyle w:val="normaltextrun"/>
                <w:rFonts w:cs="Calibri"/>
                <w:color w:val="000000"/>
                <w:shd w:val="clear" w:color="auto" w:fill="FFFFFF"/>
              </w:rPr>
            </w:pPr>
          </w:p>
        </w:tc>
        <w:tc>
          <w:tcPr>
            <w:tcW w:w="604" w:type="dxa"/>
          </w:tcPr>
          <w:p w14:paraId="41161A82" w14:textId="77777777" w:rsidR="00F831BA" w:rsidRDefault="00F831BA" w:rsidP="0087344F">
            <w:pPr>
              <w:spacing w:line="252" w:lineRule="auto"/>
              <w:ind w:left="720"/>
              <w:rPr>
                <w:rStyle w:val="normaltextrun"/>
                <w:rFonts w:ascii="Calibri" w:hAnsi="Calibri" w:cs="Calibri"/>
                <w:color w:val="000000"/>
                <w:shd w:val="clear" w:color="auto" w:fill="FFFFFF"/>
              </w:rPr>
            </w:pPr>
          </w:p>
        </w:tc>
      </w:tr>
      <w:tr w:rsidR="0087344F" w14:paraId="6FAB9DDE" w14:textId="77777777" w:rsidTr="005C677E">
        <w:trPr>
          <w:trHeight w:val="440"/>
        </w:trPr>
        <w:tc>
          <w:tcPr>
            <w:tcW w:w="604" w:type="dxa"/>
          </w:tcPr>
          <w:p w14:paraId="38C7E9F9" w14:textId="77777777" w:rsidR="0087344F" w:rsidRDefault="0087344F" w:rsidP="0087344F">
            <w:pPr>
              <w:spacing w:line="252" w:lineRule="auto"/>
              <w:ind w:left="720"/>
              <w:rPr>
                <w:rStyle w:val="normaltextrun"/>
                <w:rFonts w:ascii="Calibri" w:hAnsi="Calibri" w:cs="Calibri"/>
                <w:color w:val="000000"/>
                <w:shd w:val="clear" w:color="auto" w:fill="FFFFFF"/>
              </w:rPr>
            </w:pPr>
          </w:p>
        </w:tc>
        <w:tc>
          <w:tcPr>
            <w:tcW w:w="8152" w:type="dxa"/>
          </w:tcPr>
          <w:p w14:paraId="469ED2C2" w14:textId="77777777" w:rsidR="00BF2E44" w:rsidRDefault="00BF2E44" w:rsidP="00DD5D23">
            <w:pPr>
              <w:spacing w:line="252" w:lineRule="auto"/>
              <w:rPr>
                <w:b/>
                <w:bCs/>
                <w:color w:val="002060"/>
              </w:rPr>
            </w:pPr>
            <w:r w:rsidRPr="00BF2E44">
              <w:rPr>
                <w:b/>
                <w:bCs/>
                <w:color w:val="002060"/>
              </w:rPr>
              <w:t xml:space="preserve">Data from the ongoing global </w:t>
            </w:r>
            <w:hyperlink r:id="rId17" w:history="1">
              <w:r w:rsidRPr="00BF2E44">
                <w:rPr>
                  <w:b/>
                  <w:bCs/>
                  <w:color w:val="002060"/>
                </w:rPr>
                <w:t>P2 trial</w:t>
              </w:r>
            </w:hyperlink>
            <w:r w:rsidRPr="00BF2E44">
              <w:rPr>
                <w:b/>
                <w:bCs/>
                <w:color w:val="002060"/>
              </w:rPr>
              <w:t xml:space="preserve"> evaluating </w:t>
            </w:r>
            <w:proofErr w:type="spellStart"/>
            <w:r w:rsidRPr="00BF2E44">
              <w:rPr>
                <w:b/>
                <w:bCs/>
                <w:color w:val="002060"/>
              </w:rPr>
              <w:t>acasunlimab</w:t>
            </w:r>
            <w:proofErr w:type="spellEnd"/>
            <w:r w:rsidRPr="00BF2E44">
              <w:rPr>
                <w:b/>
                <w:bCs/>
                <w:color w:val="002060"/>
              </w:rPr>
              <w:t xml:space="preserve"> (PD-L1 x 4-1BB </w:t>
            </w:r>
            <w:proofErr w:type="spellStart"/>
            <w:r w:rsidRPr="00BF2E44">
              <w:rPr>
                <w:b/>
                <w:bCs/>
                <w:color w:val="002060"/>
              </w:rPr>
              <w:t>bsAb</w:t>
            </w:r>
            <w:proofErr w:type="spellEnd"/>
            <w:r w:rsidRPr="00BF2E44">
              <w:rPr>
                <w:b/>
                <w:bCs/>
                <w:color w:val="002060"/>
              </w:rPr>
              <w:t>) as a monotherapy and in combination with pembrolizumab in 2L+ NSCLC is anticipated 2H 2025</w:t>
            </w:r>
          </w:p>
          <w:p w14:paraId="22F71F88" w14:textId="77777777" w:rsidR="00DD5D23" w:rsidRPr="00BF2E44" w:rsidRDefault="00DD5D23" w:rsidP="00DD5D23">
            <w:pPr>
              <w:spacing w:line="252" w:lineRule="auto"/>
              <w:rPr>
                <w:b/>
                <w:bCs/>
                <w:color w:val="002060"/>
              </w:rPr>
            </w:pPr>
          </w:p>
          <w:p w14:paraId="56083CE9"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Genmab noted they have pursued a longer follow up so that the OS data would be “more meaningful…to support beating docetaxel with a median of 11 months.”</w:t>
            </w:r>
          </w:p>
          <w:p w14:paraId="151587B8"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 xml:space="preserve">The trial reached PCD in December 2024 </w:t>
            </w:r>
          </w:p>
          <w:p w14:paraId="760465D9"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 xml:space="preserve">The trial enrolled 125 patients and assessed multiple doses of the </w:t>
            </w:r>
            <w:proofErr w:type="spellStart"/>
            <w:r w:rsidRPr="00BF2E44">
              <w:rPr>
                <w:rFonts w:eastAsia="Times New Roman" w:cs="Calibri"/>
                <w:kern w:val="0"/>
                <w14:ligatures w14:val="none"/>
              </w:rPr>
              <w:t>acasunlimab</w:t>
            </w:r>
            <w:proofErr w:type="spellEnd"/>
            <w:r w:rsidRPr="00BF2E44">
              <w:rPr>
                <w:rFonts w:eastAsia="Times New Roman" w:cs="Calibri"/>
                <w:kern w:val="0"/>
                <w14:ligatures w14:val="none"/>
              </w:rPr>
              <w:t xml:space="preserve"> + </w:t>
            </w:r>
            <w:proofErr w:type="spellStart"/>
            <w:r w:rsidRPr="00BF2E44">
              <w:rPr>
                <w:rFonts w:eastAsia="Times New Roman" w:cs="Calibri"/>
                <w:kern w:val="0"/>
                <w14:ligatures w14:val="none"/>
              </w:rPr>
              <w:t>pembro</w:t>
            </w:r>
            <w:proofErr w:type="spellEnd"/>
            <w:r w:rsidRPr="00BF2E44">
              <w:rPr>
                <w:rFonts w:eastAsia="Times New Roman" w:cs="Calibri"/>
                <w:kern w:val="0"/>
                <w14:ligatures w14:val="none"/>
              </w:rPr>
              <w:t xml:space="preserve"> combination and evaluated efficacy in a randomized 1:1:1 design (aca monotherapy vs. </w:t>
            </w:r>
            <w:proofErr w:type="spellStart"/>
            <w:r w:rsidRPr="00BF2E44">
              <w:rPr>
                <w:rFonts w:eastAsia="Times New Roman" w:cs="Calibri"/>
                <w:kern w:val="0"/>
                <w14:ligatures w14:val="none"/>
              </w:rPr>
              <w:t>aca+pembro</w:t>
            </w:r>
            <w:proofErr w:type="spellEnd"/>
            <w:r w:rsidRPr="00BF2E44">
              <w:rPr>
                <w:rFonts w:eastAsia="Times New Roman" w:cs="Calibri"/>
                <w:kern w:val="0"/>
                <w14:ligatures w14:val="none"/>
              </w:rPr>
              <w:t xml:space="preserve"> Q3W vs. </w:t>
            </w:r>
            <w:proofErr w:type="spellStart"/>
            <w:r w:rsidRPr="00BF2E44">
              <w:rPr>
                <w:rFonts w:eastAsia="Times New Roman" w:cs="Calibri"/>
                <w:kern w:val="0"/>
                <w14:ligatures w14:val="none"/>
              </w:rPr>
              <w:t>aca+pembro</w:t>
            </w:r>
            <w:proofErr w:type="spellEnd"/>
            <w:r w:rsidRPr="00BF2E44">
              <w:rPr>
                <w:rFonts w:eastAsia="Times New Roman" w:cs="Calibri"/>
                <w:kern w:val="0"/>
                <w14:ligatures w14:val="none"/>
              </w:rPr>
              <w:t xml:space="preserve"> Q6W)</w:t>
            </w:r>
          </w:p>
          <w:p w14:paraId="21C42507" w14:textId="77777777" w:rsidR="00BF2E44" w:rsidRPr="00BF2E44" w:rsidRDefault="00BF2E44" w:rsidP="00DD5D23">
            <w:pPr>
              <w:pStyle w:val="ListParagraph"/>
              <w:spacing w:line="252" w:lineRule="auto"/>
              <w:rPr>
                <w:rFonts w:eastAsia="Times New Roman" w:cs="Calibri"/>
                <w:kern w:val="0"/>
                <w14:ligatures w14:val="none"/>
              </w:rPr>
            </w:pPr>
          </w:p>
          <w:p w14:paraId="7CCD464C" w14:textId="77777777" w:rsidR="00BF2E44" w:rsidRDefault="00BF2E44" w:rsidP="00DD5D23">
            <w:pPr>
              <w:spacing w:line="252" w:lineRule="auto"/>
              <w:rPr>
                <w:b/>
                <w:bCs/>
                <w:color w:val="002060"/>
              </w:rPr>
            </w:pPr>
            <w:r w:rsidRPr="00BF2E44">
              <w:rPr>
                <w:b/>
                <w:bCs/>
                <w:color w:val="002060"/>
              </w:rPr>
              <w:t xml:space="preserve">The global P3 </w:t>
            </w:r>
            <w:hyperlink r:id="rId18" w:history="1">
              <w:r w:rsidRPr="00BF2E44">
                <w:rPr>
                  <w:b/>
                  <w:bCs/>
                  <w:color w:val="002060"/>
                </w:rPr>
                <w:t>ABBIL1TY NSCLC-06</w:t>
              </w:r>
            </w:hyperlink>
            <w:r w:rsidRPr="00BF2E44">
              <w:rPr>
                <w:b/>
                <w:bCs/>
                <w:color w:val="002060"/>
              </w:rPr>
              <w:t xml:space="preserve"> trial evaluating </w:t>
            </w:r>
            <w:proofErr w:type="spellStart"/>
            <w:r w:rsidRPr="00BF2E44">
              <w:rPr>
                <w:b/>
                <w:bCs/>
                <w:color w:val="002060"/>
              </w:rPr>
              <w:t>acasunlimab</w:t>
            </w:r>
            <w:proofErr w:type="spellEnd"/>
            <w:r w:rsidRPr="00BF2E44">
              <w:rPr>
                <w:b/>
                <w:bCs/>
                <w:color w:val="002060"/>
              </w:rPr>
              <w:t xml:space="preserve"> + pembrolizumab combo therapy over docetaxel in 2L+ NSCLC patients who have failed IO and platinum chemo is recruiting with topline data expected 2027</w:t>
            </w:r>
          </w:p>
          <w:p w14:paraId="0360EC87" w14:textId="77777777" w:rsidR="00DD5D23" w:rsidRPr="00BF2E44" w:rsidRDefault="00DD5D23" w:rsidP="00DD5D23">
            <w:pPr>
              <w:spacing w:line="252" w:lineRule="auto"/>
              <w:rPr>
                <w:b/>
                <w:bCs/>
                <w:color w:val="002060"/>
              </w:rPr>
            </w:pPr>
          </w:p>
          <w:p w14:paraId="6A0EB9C2"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The trial plans to enroll 702 patients without AGAs and has one primary endpoint - OS</w:t>
            </w:r>
          </w:p>
          <w:p w14:paraId="51F933E6"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 xml:space="preserve">Recall Genmab independently launched the trial in November 2024 following </w:t>
            </w:r>
            <w:hyperlink r:id="rId19" w:history="1">
              <w:r w:rsidRPr="00BF2E44">
                <w:rPr>
                  <w:rFonts w:eastAsia="Times New Roman" w:cs="Calibri"/>
                  <w:kern w:val="0"/>
                  <w14:ligatures w14:val="none"/>
                </w:rPr>
                <w:t>BioNTech backing out</w:t>
              </w:r>
            </w:hyperlink>
            <w:r w:rsidRPr="00BF2E44">
              <w:rPr>
                <w:rFonts w:eastAsia="Times New Roman" w:cs="Calibri"/>
                <w:kern w:val="0"/>
                <w14:ligatures w14:val="none"/>
              </w:rPr>
              <w:t xml:space="preserve"> of its collaboration to develop the asset in August 2024</w:t>
            </w:r>
          </w:p>
          <w:p w14:paraId="6048D206" w14:textId="77777777" w:rsidR="00BF2E44" w:rsidRPr="00BF2E44" w:rsidRDefault="00BF2E44" w:rsidP="00DD5D23">
            <w:pPr>
              <w:pStyle w:val="ListParagraph"/>
              <w:numPr>
                <w:ilvl w:val="0"/>
                <w:numId w:val="36"/>
              </w:numPr>
              <w:spacing w:line="252" w:lineRule="auto"/>
              <w:rPr>
                <w:rFonts w:eastAsia="Times New Roman" w:cs="Calibri"/>
                <w:kern w:val="0"/>
                <w14:ligatures w14:val="none"/>
              </w:rPr>
            </w:pPr>
            <w:r w:rsidRPr="00BF2E44">
              <w:rPr>
                <w:rFonts w:eastAsia="Times New Roman" w:cs="Calibri"/>
                <w:kern w:val="0"/>
                <w14:ligatures w14:val="none"/>
              </w:rPr>
              <w:t xml:space="preserve">Genmab anticipates a $1B sales opportunity for this patient population and is eyeing a 2028 launch for </w:t>
            </w:r>
            <w:proofErr w:type="spellStart"/>
            <w:r w:rsidRPr="00BF2E44">
              <w:rPr>
                <w:rFonts w:eastAsia="Times New Roman" w:cs="Calibri"/>
                <w:kern w:val="0"/>
                <w14:ligatures w14:val="none"/>
              </w:rPr>
              <w:t>acasunlimab</w:t>
            </w:r>
            <w:proofErr w:type="spellEnd"/>
            <w:r w:rsidRPr="00BF2E44">
              <w:rPr>
                <w:rFonts w:eastAsia="Times New Roman" w:cs="Calibri"/>
                <w:kern w:val="0"/>
                <w14:ligatures w14:val="none"/>
              </w:rPr>
              <w:t xml:space="preserve"> in NSCLC</w:t>
            </w:r>
          </w:p>
          <w:p w14:paraId="2355E8F4" w14:textId="77777777" w:rsidR="00F955AA" w:rsidRPr="00DD5D23" w:rsidRDefault="00F955AA" w:rsidP="00DD5D23">
            <w:pPr>
              <w:pStyle w:val="ListParagraph"/>
              <w:spacing w:line="252" w:lineRule="auto"/>
              <w:rPr>
                <w:rFonts w:eastAsia="Times New Roman" w:cs="Calibri"/>
                <w:kern w:val="0"/>
                <w14:ligatures w14:val="none"/>
              </w:rPr>
            </w:pPr>
          </w:p>
          <w:p w14:paraId="767CF36F" w14:textId="77777777" w:rsidR="001C16C0" w:rsidRPr="001C16C0" w:rsidRDefault="001C16C0" w:rsidP="001C16C0">
            <w:pPr>
              <w:spacing w:line="252" w:lineRule="auto"/>
              <w:rPr>
                <w:rFonts w:eastAsia="Calibri" w:cs="Calibri"/>
                <w:b/>
                <w:bCs/>
                <w:color w:val="000000"/>
              </w:rPr>
            </w:pPr>
          </w:p>
          <w:p w14:paraId="6CC3B09F" w14:textId="77777777" w:rsidR="001C16C0" w:rsidRPr="001C16C0" w:rsidRDefault="001C16C0" w:rsidP="001C16C0">
            <w:pPr>
              <w:spacing w:line="252" w:lineRule="auto"/>
              <w:rPr>
                <w:rFonts w:eastAsia="Calibri" w:cs="Calibri"/>
                <w:color w:val="385623"/>
              </w:rPr>
            </w:pPr>
          </w:p>
          <w:p w14:paraId="1850A364" w14:textId="77777777" w:rsidR="005C677E" w:rsidRDefault="005C677E" w:rsidP="00DD5D23">
            <w:pPr>
              <w:spacing w:line="252" w:lineRule="auto"/>
              <w:rPr>
                <w:b/>
                <w:bCs/>
                <w:color w:val="002060"/>
              </w:rPr>
            </w:pPr>
            <w:r w:rsidRPr="005C677E">
              <w:rPr>
                <w:b/>
                <w:bCs/>
                <w:color w:val="002060"/>
              </w:rPr>
              <w:t xml:space="preserve">Genmab opened 2 NSCLC expansion cohorts in its P1/2 </w:t>
            </w:r>
            <w:hyperlink r:id="rId20" w:history="1">
              <w:r w:rsidRPr="005C677E">
                <w:rPr>
                  <w:b/>
                  <w:bCs/>
                  <w:color w:val="002060"/>
                </w:rPr>
                <w:t>PRO1184-001</w:t>
              </w:r>
            </w:hyperlink>
            <w:r w:rsidRPr="005C677E">
              <w:rPr>
                <w:b/>
                <w:bCs/>
                <w:color w:val="002060"/>
              </w:rPr>
              <w:t xml:space="preserve"> evaluating </w:t>
            </w:r>
            <w:proofErr w:type="spellStart"/>
            <w:r w:rsidRPr="005C677E">
              <w:rPr>
                <w:b/>
                <w:bCs/>
                <w:color w:val="002060"/>
              </w:rPr>
              <w:t>rinatabart</w:t>
            </w:r>
            <w:proofErr w:type="spellEnd"/>
            <w:r w:rsidRPr="005C677E">
              <w:rPr>
                <w:b/>
                <w:bCs/>
                <w:color w:val="002060"/>
              </w:rPr>
              <w:t xml:space="preserve"> </w:t>
            </w:r>
            <w:proofErr w:type="spellStart"/>
            <w:r w:rsidRPr="005C677E">
              <w:rPr>
                <w:b/>
                <w:bCs/>
                <w:color w:val="002060"/>
              </w:rPr>
              <w:t>sesutecan</w:t>
            </w:r>
            <w:proofErr w:type="spellEnd"/>
            <w:r w:rsidRPr="005C677E">
              <w:rPr>
                <w:b/>
                <w:bCs/>
                <w:color w:val="002060"/>
              </w:rPr>
              <w:t xml:space="preserve"> (Rina-S, FR</w:t>
            </w:r>
            <w:r w:rsidRPr="005C677E">
              <w:rPr>
                <w:b/>
                <w:bCs/>
                <w:color w:val="002060"/>
              </w:rPr>
              <w:sym w:font="Symbol" w:char="F061"/>
            </w:r>
            <w:r w:rsidRPr="005C677E">
              <w:rPr>
                <w:b/>
                <w:bCs/>
                <w:color w:val="002060"/>
              </w:rPr>
              <w:t xml:space="preserve"> Top1 ADC) monotherapy in advanced solid tumors </w:t>
            </w:r>
          </w:p>
          <w:p w14:paraId="1A30077F" w14:textId="77777777" w:rsidR="00DD5D23" w:rsidRPr="005C677E" w:rsidRDefault="00DD5D23" w:rsidP="00DD5D23">
            <w:pPr>
              <w:spacing w:line="252" w:lineRule="auto"/>
              <w:rPr>
                <w:b/>
                <w:bCs/>
                <w:color w:val="002060"/>
              </w:rPr>
            </w:pPr>
          </w:p>
          <w:p w14:paraId="68990047" w14:textId="77777777" w:rsidR="005C677E" w:rsidRPr="005C677E" w:rsidRDefault="005C677E" w:rsidP="00DD5D23">
            <w:pPr>
              <w:pStyle w:val="ListParagraph"/>
              <w:numPr>
                <w:ilvl w:val="0"/>
                <w:numId w:val="36"/>
              </w:numPr>
              <w:spacing w:line="252" w:lineRule="auto"/>
              <w:rPr>
                <w:rFonts w:eastAsia="Times New Roman" w:cs="Calibri"/>
                <w:kern w:val="0"/>
                <w14:ligatures w14:val="none"/>
              </w:rPr>
            </w:pPr>
            <w:r w:rsidRPr="005C677E">
              <w:rPr>
                <w:rFonts w:eastAsia="Times New Roman" w:cs="Calibri"/>
                <w:kern w:val="0"/>
                <w14:ligatures w14:val="none"/>
              </w:rPr>
              <w:t xml:space="preserve">One cohort is dedicated to </w:t>
            </w:r>
            <w:proofErr w:type="spellStart"/>
            <w:r w:rsidRPr="005C677E">
              <w:rPr>
                <w:rFonts w:eastAsia="Times New Roman" w:cs="Calibri"/>
                <w:kern w:val="0"/>
                <w14:ligatures w14:val="none"/>
              </w:rPr>
              <w:t>EGFRwt</w:t>
            </w:r>
            <w:proofErr w:type="spellEnd"/>
            <w:r w:rsidRPr="005C677E">
              <w:rPr>
                <w:rFonts w:eastAsia="Times New Roman" w:cs="Calibri"/>
                <w:kern w:val="0"/>
                <w14:ligatures w14:val="none"/>
              </w:rPr>
              <w:t xml:space="preserve"> patients, the other to EGFRm patients</w:t>
            </w:r>
          </w:p>
          <w:p w14:paraId="50AC9289" w14:textId="77777777" w:rsidR="005C677E" w:rsidRPr="005C677E" w:rsidRDefault="005C677E" w:rsidP="00DD5D23">
            <w:pPr>
              <w:pStyle w:val="ListParagraph"/>
              <w:numPr>
                <w:ilvl w:val="0"/>
                <w:numId w:val="36"/>
              </w:numPr>
              <w:spacing w:line="252" w:lineRule="auto"/>
              <w:rPr>
                <w:rFonts w:eastAsia="Times New Roman" w:cs="Calibri"/>
                <w:kern w:val="0"/>
                <w14:ligatures w14:val="none"/>
              </w:rPr>
            </w:pPr>
            <w:r w:rsidRPr="005C677E">
              <w:rPr>
                <w:rFonts w:eastAsia="Times New Roman" w:cs="Calibri"/>
                <w:kern w:val="0"/>
                <w14:ligatures w14:val="none"/>
              </w:rPr>
              <w:t>Patients must have failed prior therapies – though few specifics are provided</w:t>
            </w:r>
          </w:p>
          <w:p w14:paraId="077E7D72" w14:textId="77777777" w:rsidR="005C677E" w:rsidRPr="005C677E" w:rsidRDefault="005C677E" w:rsidP="00DD5D23">
            <w:pPr>
              <w:pStyle w:val="ListParagraph"/>
              <w:numPr>
                <w:ilvl w:val="0"/>
                <w:numId w:val="36"/>
              </w:numPr>
              <w:spacing w:line="252" w:lineRule="auto"/>
              <w:rPr>
                <w:rFonts w:eastAsia="Times New Roman" w:cs="Calibri"/>
                <w:kern w:val="0"/>
                <w14:ligatures w14:val="none"/>
              </w:rPr>
            </w:pPr>
            <w:r w:rsidRPr="005C677E">
              <w:rPr>
                <w:rFonts w:eastAsia="Times New Roman" w:cs="Calibri"/>
                <w:kern w:val="0"/>
                <w14:ligatures w14:val="none"/>
              </w:rPr>
              <w:t>Genmab is “actively enrolling” NSCLC patients and plans to share data “very soon”</w:t>
            </w:r>
          </w:p>
          <w:p w14:paraId="1A9F3291" w14:textId="77777777" w:rsidR="005C677E" w:rsidRPr="005C677E" w:rsidRDefault="005C677E" w:rsidP="00DD5D23">
            <w:pPr>
              <w:pStyle w:val="ListParagraph"/>
              <w:numPr>
                <w:ilvl w:val="0"/>
                <w:numId w:val="36"/>
              </w:numPr>
              <w:spacing w:line="252" w:lineRule="auto"/>
              <w:rPr>
                <w:rFonts w:eastAsia="Times New Roman" w:cs="Calibri"/>
                <w:kern w:val="0"/>
                <w14:ligatures w14:val="none"/>
              </w:rPr>
            </w:pPr>
            <w:r w:rsidRPr="005C677E">
              <w:rPr>
                <w:rFonts w:eastAsia="Times New Roman" w:cs="Calibri"/>
                <w:kern w:val="0"/>
                <w14:ligatures w14:val="none"/>
              </w:rPr>
              <w:t>The ADC is one of Genmab’s lead assets and is currently under investigation in a P3 trial for platinum-resistant ovarian cancer with a P3 for endometrial cancer planned to launch later this year</w:t>
            </w:r>
          </w:p>
          <w:p w14:paraId="6863A855" w14:textId="77777777" w:rsidR="005C677E" w:rsidRPr="005C677E" w:rsidRDefault="005C677E" w:rsidP="00DD5D23">
            <w:pPr>
              <w:pStyle w:val="ListParagraph"/>
              <w:numPr>
                <w:ilvl w:val="0"/>
                <w:numId w:val="36"/>
              </w:numPr>
              <w:spacing w:line="252" w:lineRule="auto"/>
              <w:rPr>
                <w:rFonts w:eastAsia="Times New Roman" w:cs="Calibri"/>
                <w:kern w:val="0"/>
                <w14:ligatures w14:val="none"/>
              </w:rPr>
            </w:pPr>
            <w:r w:rsidRPr="005C677E">
              <w:rPr>
                <w:rFonts w:eastAsia="Times New Roman" w:cs="Calibri"/>
                <w:kern w:val="0"/>
                <w14:ligatures w14:val="none"/>
              </w:rPr>
              <w:t>Genmab intends to expand the asset further outside of PROC, EC, and NSCLC to multiple solid tumors based on encouraging data</w:t>
            </w:r>
          </w:p>
          <w:p w14:paraId="523DC5E8" w14:textId="77777777" w:rsidR="005C677E" w:rsidRPr="005C677E" w:rsidRDefault="005C677E" w:rsidP="005C677E">
            <w:pPr>
              <w:rPr>
                <w:rFonts w:ascii="Calibri" w:eastAsia="Times New Roman" w:hAnsi="Calibri" w:cs="Calibri"/>
                <w:b/>
                <w:bCs/>
                <w:kern w:val="0"/>
                <w14:ligatures w14:val="none"/>
              </w:rPr>
            </w:pPr>
          </w:p>
          <w:p w14:paraId="26DE26E1" w14:textId="77777777" w:rsidR="005C677E" w:rsidRDefault="005C677E" w:rsidP="00DD5D23">
            <w:pPr>
              <w:spacing w:line="252" w:lineRule="auto"/>
              <w:rPr>
                <w:b/>
                <w:bCs/>
                <w:color w:val="002060"/>
              </w:rPr>
            </w:pPr>
            <w:r w:rsidRPr="005C677E">
              <w:rPr>
                <w:b/>
                <w:bCs/>
                <w:color w:val="002060"/>
              </w:rPr>
              <w:t>Genmab continues to receive royalties of 8-10% of J&amp;J’s RYBREVANT (</w:t>
            </w:r>
            <w:proofErr w:type="spellStart"/>
            <w:r w:rsidRPr="005C677E">
              <w:rPr>
                <w:b/>
                <w:bCs/>
                <w:color w:val="002060"/>
              </w:rPr>
              <w:t>amivantamab</w:t>
            </w:r>
            <w:proofErr w:type="spellEnd"/>
            <w:r w:rsidRPr="005C677E">
              <w:rPr>
                <w:b/>
                <w:bCs/>
                <w:color w:val="002060"/>
              </w:rPr>
              <w:t xml:space="preserve">, EGFR x </w:t>
            </w:r>
            <w:proofErr w:type="spellStart"/>
            <w:r w:rsidRPr="005C677E">
              <w:rPr>
                <w:b/>
                <w:bCs/>
                <w:color w:val="002060"/>
              </w:rPr>
              <w:t>cMET</w:t>
            </w:r>
            <w:proofErr w:type="spellEnd"/>
            <w:r w:rsidRPr="005C677E">
              <w:rPr>
                <w:b/>
                <w:bCs/>
                <w:color w:val="002060"/>
              </w:rPr>
              <w:t xml:space="preserve"> </w:t>
            </w:r>
            <w:proofErr w:type="spellStart"/>
            <w:r w:rsidRPr="005C677E">
              <w:rPr>
                <w:b/>
                <w:bCs/>
                <w:color w:val="002060"/>
              </w:rPr>
              <w:t>bsAb</w:t>
            </w:r>
            <w:proofErr w:type="spellEnd"/>
            <w:r w:rsidRPr="005C677E">
              <w:rPr>
                <w:b/>
                <w:bCs/>
                <w:color w:val="002060"/>
              </w:rPr>
              <w:t>) global sales</w:t>
            </w:r>
          </w:p>
          <w:p w14:paraId="6305F34C" w14:textId="77777777" w:rsidR="00DD5D23" w:rsidRPr="005C677E" w:rsidRDefault="00DD5D23" w:rsidP="00DD5D23">
            <w:pPr>
              <w:spacing w:line="252" w:lineRule="auto"/>
              <w:rPr>
                <w:b/>
                <w:bCs/>
                <w:color w:val="002060"/>
              </w:rPr>
            </w:pPr>
          </w:p>
          <w:p w14:paraId="6867CEC5" w14:textId="6B1F3B4D" w:rsidR="0087344F" w:rsidRPr="00DD5D23" w:rsidRDefault="005C677E" w:rsidP="00DD5D23">
            <w:pPr>
              <w:pStyle w:val="ListParagraph"/>
              <w:numPr>
                <w:ilvl w:val="0"/>
                <w:numId w:val="36"/>
              </w:numPr>
              <w:spacing w:line="252" w:lineRule="auto"/>
              <w:rPr>
                <w:rStyle w:val="normaltextrun"/>
                <w:rFonts w:eastAsia="Times New Roman" w:cs="Calibri"/>
                <w:kern w:val="0"/>
                <w14:ligatures w14:val="none"/>
              </w:rPr>
            </w:pPr>
            <w:r w:rsidRPr="005C677E">
              <w:rPr>
                <w:rFonts w:eastAsia="Times New Roman" w:cs="Calibri"/>
                <w:kern w:val="0"/>
                <w14:ligatures w14:val="none"/>
              </w:rPr>
              <w:lastRenderedPageBreak/>
              <w:t>Recall Genmab and J&amp;J entered a research collaboration in December 2013 for the asset</w:t>
            </w:r>
          </w:p>
        </w:tc>
        <w:tc>
          <w:tcPr>
            <w:tcW w:w="604" w:type="dxa"/>
          </w:tcPr>
          <w:p w14:paraId="4F1B918D" w14:textId="278BC9C2" w:rsidR="0087344F" w:rsidRDefault="0087344F" w:rsidP="0087344F">
            <w:pPr>
              <w:spacing w:line="252" w:lineRule="auto"/>
              <w:ind w:left="720"/>
              <w:rPr>
                <w:rStyle w:val="normaltextrun"/>
                <w:rFonts w:ascii="Calibri" w:hAnsi="Calibri" w:cs="Calibri"/>
                <w:color w:val="000000"/>
                <w:shd w:val="clear" w:color="auto" w:fill="FFFFFF"/>
              </w:rPr>
            </w:pPr>
          </w:p>
        </w:tc>
      </w:tr>
      <w:tr w:rsidR="004F1383" w14:paraId="55510DE6" w14:textId="77777777" w:rsidTr="00C92713">
        <w:trPr>
          <w:trHeight w:val="440"/>
        </w:trPr>
        <w:tc>
          <w:tcPr>
            <w:tcW w:w="9360" w:type="dxa"/>
            <w:gridSpan w:val="3"/>
          </w:tcPr>
          <w:p w14:paraId="121F4970" w14:textId="092C48E4" w:rsidR="004F1383" w:rsidRDefault="004F1383" w:rsidP="0019068D">
            <w:pPr>
              <w:jc w:val="center"/>
            </w:pPr>
          </w:p>
        </w:tc>
      </w:tr>
      <w:bookmarkEnd w:id="0"/>
    </w:tbl>
    <w:p w14:paraId="4156C399" w14:textId="77777777" w:rsidR="00803231" w:rsidRDefault="00803231"/>
    <w:sectPr w:rsidR="00803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811"/>
    <w:multiLevelType w:val="hybridMultilevel"/>
    <w:tmpl w:val="0EF2C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D26AE"/>
    <w:multiLevelType w:val="hybridMultilevel"/>
    <w:tmpl w:val="627E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90871"/>
    <w:multiLevelType w:val="multilevel"/>
    <w:tmpl w:val="26F0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87D07"/>
    <w:multiLevelType w:val="hybridMultilevel"/>
    <w:tmpl w:val="AB2A0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97F4A"/>
    <w:multiLevelType w:val="hybridMultilevel"/>
    <w:tmpl w:val="381E2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73070"/>
    <w:multiLevelType w:val="hybridMultilevel"/>
    <w:tmpl w:val="0F9C4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C0B7E"/>
    <w:multiLevelType w:val="multilevel"/>
    <w:tmpl w:val="160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B7302"/>
    <w:multiLevelType w:val="hybridMultilevel"/>
    <w:tmpl w:val="D2A21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C5A0C"/>
    <w:multiLevelType w:val="multilevel"/>
    <w:tmpl w:val="93F2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A0BB5"/>
    <w:multiLevelType w:val="hybridMultilevel"/>
    <w:tmpl w:val="B1D4A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22AA9"/>
    <w:multiLevelType w:val="hybridMultilevel"/>
    <w:tmpl w:val="8458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408ED"/>
    <w:multiLevelType w:val="hybridMultilevel"/>
    <w:tmpl w:val="2F16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A6281"/>
    <w:multiLevelType w:val="multilevel"/>
    <w:tmpl w:val="5C5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4A55CF"/>
    <w:multiLevelType w:val="hybridMultilevel"/>
    <w:tmpl w:val="4708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74DB5"/>
    <w:multiLevelType w:val="hybridMultilevel"/>
    <w:tmpl w:val="62389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20116E"/>
    <w:multiLevelType w:val="multilevel"/>
    <w:tmpl w:val="C0668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382333"/>
    <w:multiLevelType w:val="hybridMultilevel"/>
    <w:tmpl w:val="388C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C7395"/>
    <w:multiLevelType w:val="hybridMultilevel"/>
    <w:tmpl w:val="C3BEF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FE62713"/>
    <w:multiLevelType w:val="multilevel"/>
    <w:tmpl w:val="5A4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922C42"/>
    <w:multiLevelType w:val="hybridMultilevel"/>
    <w:tmpl w:val="346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62ED3"/>
    <w:multiLevelType w:val="multilevel"/>
    <w:tmpl w:val="3BB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E27D71"/>
    <w:multiLevelType w:val="multilevel"/>
    <w:tmpl w:val="63C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E6A73"/>
    <w:multiLevelType w:val="multilevel"/>
    <w:tmpl w:val="165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4A1814"/>
    <w:multiLevelType w:val="hybridMultilevel"/>
    <w:tmpl w:val="31223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7F25E3A"/>
    <w:multiLevelType w:val="hybridMultilevel"/>
    <w:tmpl w:val="5CFA6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BB74DC"/>
    <w:multiLevelType w:val="hybridMultilevel"/>
    <w:tmpl w:val="1CC0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674485"/>
    <w:multiLevelType w:val="hybridMultilevel"/>
    <w:tmpl w:val="E588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766639"/>
    <w:multiLevelType w:val="hybridMultilevel"/>
    <w:tmpl w:val="79CE4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A0956"/>
    <w:multiLevelType w:val="hybridMultilevel"/>
    <w:tmpl w:val="A2E6DF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1CF35F0"/>
    <w:multiLevelType w:val="hybridMultilevel"/>
    <w:tmpl w:val="D00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64307"/>
    <w:multiLevelType w:val="hybridMultilevel"/>
    <w:tmpl w:val="573C1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DE77D4"/>
    <w:multiLevelType w:val="multilevel"/>
    <w:tmpl w:val="C67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41385B"/>
    <w:multiLevelType w:val="hybridMultilevel"/>
    <w:tmpl w:val="9A02EB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2B1908"/>
    <w:multiLevelType w:val="hybridMultilevel"/>
    <w:tmpl w:val="EC5A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E875DC"/>
    <w:multiLevelType w:val="hybridMultilevel"/>
    <w:tmpl w:val="A842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C572B6"/>
    <w:multiLevelType w:val="hybridMultilevel"/>
    <w:tmpl w:val="505408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5EE0D3D"/>
    <w:multiLevelType w:val="multilevel"/>
    <w:tmpl w:val="3FE25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AF61CC"/>
    <w:multiLevelType w:val="hybridMultilevel"/>
    <w:tmpl w:val="3170E9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815281"/>
    <w:multiLevelType w:val="multilevel"/>
    <w:tmpl w:val="AC6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031ECF"/>
    <w:multiLevelType w:val="hybridMultilevel"/>
    <w:tmpl w:val="1F12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510E3C"/>
    <w:multiLevelType w:val="hybridMultilevel"/>
    <w:tmpl w:val="169E2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40878151">
    <w:abstractNumId w:val="9"/>
  </w:num>
  <w:num w:numId="2" w16cid:durableId="2085175976">
    <w:abstractNumId w:val="33"/>
  </w:num>
  <w:num w:numId="3" w16cid:durableId="412892921">
    <w:abstractNumId w:val="10"/>
  </w:num>
  <w:num w:numId="4" w16cid:durableId="152332672">
    <w:abstractNumId w:val="14"/>
  </w:num>
  <w:num w:numId="5" w16cid:durableId="504445459">
    <w:abstractNumId w:val="35"/>
  </w:num>
  <w:num w:numId="6" w16cid:durableId="1242368216">
    <w:abstractNumId w:val="37"/>
  </w:num>
  <w:num w:numId="7" w16cid:durableId="1032458365">
    <w:abstractNumId w:val="23"/>
  </w:num>
  <w:num w:numId="8" w16cid:durableId="1826051073">
    <w:abstractNumId w:val="28"/>
  </w:num>
  <w:num w:numId="9" w16cid:durableId="1178302762">
    <w:abstractNumId w:val="36"/>
  </w:num>
  <w:num w:numId="10" w16cid:durableId="1513955092">
    <w:abstractNumId w:val="24"/>
  </w:num>
  <w:num w:numId="11" w16cid:durableId="747383160">
    <w:abstractNumId w:val="3"/>
  </w:num>
  <w:num w:numId="12" w16cid:durableId="1930429783">
    <w:abstractNumId w:val="15"/>
  </w:num>
  <w:num w:numId="13" w16cid:durableId="1874728242">
    <w:abstractNumId w:val="27"/>
  </w:num>
  <w:num w:numId="14" w16cid:durableId="1880697946">
    <w:abstractNumId w:val="19"/>
  </w:num>
  <w:num w:numId="15" w16cid:durableId="1024331489">
    <w:abstractNumId w:val="4"/>
  </w:num>
  <w:num w:numId="16" w16cid:durableId="2063870830">
    <w:abstractNumId w:val="25"/>
  </w:num>
  <w:num w:numId="17" w16cid:durableId="1826970176">
    <w:abstractNumId w:val="1"/>
  </w:num>
  <w:num w:numId="18" w16cid:durableId="246840342">
    <w:abstractNumId w:val="11"/>
  </w:num>
  <w:num w:numId="19" w16cid:durableId="285284540">
    <w:abstractNumId w:val="18"/>
  </w:num>
  <w:num w:numId="20" w16cid:durableId="1854109842">
    <w:abstractNumId w:val="2"/>
  </w:num>
  <w:num w:numId="21" w16cid:durableId="1942834398">
    <w:abstractNumId w:val="22"/>
  </w:num>
  <w:num w:numId="22" w16cid:durableId="137919877">
    <w:abstractNumId w:val="6"/>
  </w:num>
  <w:num w:numId="23" w16cid:durableId="739137585">
    <w:abstractNumId w:val="12"/>
  </w:num>
  <w:num w:numId="24" w16cid:durableId="1775395785">
    <w:abstractNumId w:val="8"/>
  </w:num>
  <w:num w:numId="25" w16cid:durableId="354966108">
    <w:abstractNumId w:val="31"/>
  </w:num>
  <w:num w:numId="26" w16cid:durableId="1558708508">
    <w:abstractNumId w:val="20"/>
  </w:num>
  <w:num w:numId="27" w16cid:durableId="2064402609">
    <w:abstractNumId w:val="21"/>
  </w:num>
  <w:num w:numId="28" w16cid:durableId="1076587953">
    <w:abstractNumId w:val="38"/>
  </w:num>
  <w:num w:numId="29" w16cid:durableId="1218392849">
    <w:abstractNumId w:val="30"/>
  </w:num>
  <w:num w:numId="30" w16cid:durableId="1750037956">
    <w:abstractNumId w:val="17"/>
  </w:num>
  <w:num w:numId="31" w16cid:durableId="753673020">
    <w:abstractNumId w:val="40"/>
  </w:num>
  <w:num w:numId="32" w16cid:durableId="845097950">
    <w:abstractNumId w:val="13"/>
  </w:num>
  <w:num w:numId="33" w16cid:durableId="1972443124">
    <w:abstractNumId w:val="7"/>
  </w:num>
  <w:num w:numId="34" w16cid:durableId="1535851398">
    <w:abstractNumId w:val="16"/>
  </w:num>
  <w:num w:numId="35" w16cid:durableId="742147375">
    <w:abstractNumId w:val="32"/>
  </w:num>
  <w:num w:numId="36" w16cid:durableId="1049499804">
    <w:abstractNumId w:val="29"/>
  </w:num>
  <w:num w:numId="37" w16cid:durableId="1623222170">
    <w:abstractNumId w:val="26"/>
  </w:num>
  <w:num w:numId="38" w16cid:durableId="771630592">
    <w:abstractNumId w:val="39"/>
  </w:num>
  <w:num w:numId="39" w16cid:durableId="160051329">
    <w:abstractNumId w:val="0"/>
  </w:num>
  <w:num w:numId="40" w16cid:durableId="1214077597">
    <w:abstractNumId w:val="5"/>
  </w:num>
  <w:num w:numId="41" w16cid:durableId="15844862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FC"/>
    <w:rsid w:val="0000144D"/>
    <w:rsid w:val="00002FC1"/>
    <w:rsid w:val="000037DA"/>
    <w:rsid w:val="00004E24"/>
    <w:rsid w:val="000050AD"/>
    <w:rsid w:val="00011EE2"/>
    <w:rsid w:val="00012181"/>
    <w:rsid w:val="00012A6A"/>
    <w:rsid w:val="000146CD"/>
    <w:rsid w:val="00014995"/>
    <w:rsid w:val="0001529C"/>
    <w:rsid w:val="0001594F"/>
    <w:rsid w:val="00016C19"/>
    <w:rsid w:val="00022F99"/>
    <w:rsid w:val="000235B7"/>
    <w:rsid w:val="000237B4"/>
    <w:rsid w:val="00023DA6"/>
    <w:rsid w:val="00023DCB"/>
    <w:rsid w:val="00024302"/>
    <w:rsid w:val="00033FC3"/>
    <w:rsid w:val="00035AB6"/>
    <w:rsid w:val="00037093"/>
    <w:rsid w:val="00037170"/>
    <w:rsid w:val="000418CB"/>
    <w:rsid w:val="00042588"/>
    <w:rsid w:val="00043BF2"/>
    <w:rsid w:val="00047FE5"/>
    <w:rsid w:val="00052ADB"/>
    <w:rsid w:val="00053239"/>
    <w:rsid w:val="00054C90"/>
    <w:rsid w:val="000635A9"/>
    <w:rsid w:val="00065C7A"/>
    <w:rsid w:val="00067353"/>
    <w:rsid w:val="000705EE"/>
    <w:rsid w:val="00070B3A"/>
    <w:rsid w:val="00073CB9"/>
    <w:rsid w:val="00075A48"/>
    <w:rsid w:val="00080061"/>
    <w:rsid w:val="0008081E"/>
    <w:rsid w:val="00081B90"/>
    <w:rsid w:val="00082785"/>
    <w:rsid w:val="00082E5A"/>
    <w:rsid w:val="000861E7"/>
    <w:rsid w:val="00091997"/>
    <w:rsid w:val="00092100"/>
    <w:rsid w:val="000921AB"/>
    <w:rsid w:val="0009320D"/>
    <w:rsid w:val="000936EE"/>
    <w:rsid w:val="00093E6E"/>
    <w:rsid w:val="000942EB"/>
    <w:rsid w:val="00095ED3"/>
    <w:rsid w:val="000964E6"/>
    <w:rsid w:val="000A0006"/>
    <w:rsid w:val="000A1DA1"/>
    <w:rsid w:val="000A20B7"/>
    <w:rsid w:val="000A2563"/>
    <w:rsid w:val="000A3979"/>
    <w:rsid w:val="000A5CA9"/>
    <w:rsid w:val="000B0425"/>
    <w:rsid w:val="000B0629"/>
    <w:rsid w:val="000B2605"/>
    <w:rsid w:val="000B41D2"/>
    <w:rsid w:val="000B468B"/>
    <w:rsid w:val="000B4AB6"/>
    <w:rsid w:val="000B607B"/>
    <w:rsid w:val="000B71ED"/>
    <w:rsid w:val="000B72F6"/>
    <w:rsid w:val="000C3CCF"/>
    <w:rsid w:val="000C624B"/>
    <w:rsid w:val="000D3762"/>
    <w:rsid w:val="000D43F8"/>
    <w:rsid w:val="000D69BE"/>
    <w:rsid w:val="000D7021"/>
    <w:rsid w:val="000D737B"/>
    <w:rsid w:val="000E32C9"/>
    <w:rsid w:val="000E4132"/>
    <w:rsid w:val="000E4CD7"/>
    <w:rsid w:val="000E74AB"/>
    <w:rsid w:val="000F0CF0"/>
    <w:rsid w:val="000F1B90"/>
    <w:rsid w:val="000F29F8"/>
    <w:rsid w:val="000F2ABC"/>
    <w:rsid w:val="000F3946"/>
    <w:rsid w:val="000F671E"/>
    <w:rsid w:val="000F6CE9"/>
    <w:rsid w:val="00102376"/>
    <w:rsid w:val="0010252A"/>
    <w:rsid w:val="00103393"/>
    <w:rsid w:val="00103BAC"/>
    <w:rsid w:val="00103F87"/>
    <w:rsid w:val="00104DB6"/>
    <w:rsid w:val="00106132"/>
    <w:rsid w:val="00110F74"/>
    <w:rsid w:val="00110F90"/>
    <w:rsid w:val="00114758"/>
    <w:rsid w:val="001148E3"/>
    <w:rsid w:val="00122B2E"/>
    <w:rsid w:val="0012312A"/>
    <w:rsid w:val="00123ED6"/>
    <w:rsid w:val="00123F47"/>
    <w:rsid w:val="001255E4"/>
    <w:rsid w:val="00127C5B"/>
    <w:rsid w:val="00127FAA"/>
    <w:rsid w:val="001333AB"/>
    <w:rsid w:val="001340C9"/>
    <w:rsid w:val="00134215"/>
    <w:rsid w:val="00134840"/>
    <w:rsid w:val="001434D4"/>
    <w:rsid w:val="001447D5"/>
    <w:rsid w:val="00150CAD"/>
    <w:rsid w:val="00151409"/>
    <w:rsid w:val="00152DD6"/>
    <w:rsid w:val="0015602D"/>
    <w:rsid w:val="00156103"/>
    <w:rsid w:val="0015628D"/>
    <w:rsid w:val="00164923"/>
    <w:rsid w:val="00164AAF"/>
    <w:rsid w:val="00164DA2"/>
    <w:rsid w:val="00165228"/>
    <w:rsid w:val="00165ED2"/>
    <w:rsid w:val="00167991"/>
    <w:rsid w:val="00171C0B"/>
    <w:rsid w:val="00171D30"/>
    <w:rsid w:val="001727D4"/>
    <w:rsid w:val="00172925"/>
    <w:rsid w:val="001750F5"/>
    <w:rsid w:val="00175288"/>
    <w:rsid w:val="0017768D"/>
    <w:rsid w:val="001779C1"/>
    <w:rsid w:val="00177E1B"/>
    <w:rsid w:val="00181F96"/>
    <w:rsid w:val="001858B7"/>
    <w:rsid w:val="00186EFB"/>
    <w:rsid w:val="001870E6"/>
    <w:rsid w:val="0019068D"/>
    <w:rsid w:val="001906A3"/>
    <w:rsid w:val="00190D65"/>
    <w:rsid w:val="00191ED2"/>
    <w:rsid w:val="0019233A"/>
    <w:rsid w:val="00193134"/>
    <w:rsid w:val="001959BD"/>
    <w:rsid w:val="001967E7"/>
    <w:rsid w:val="001A0DF6"/>
    <w:rsid w:val="001A0EFA"/>
    <w:rsid w:val="001A158D"/>
    <w:rsid w:val="001A3365"/>
    <w:rsid w:val="001A4DC6"/>
    <w:rsid w:val="001A5FA8"/>
    <w:rsid w:val="001A737F"/>
    <w:rsid w:val="001B00D1"/>
    <w:rsid w:val="001B123D"/>
    <w:rsid w:val="001B13EC"/>
    <w:rsid w:val="001B2CC9"/>
    <w:rsid w:val="001B39A3"/>
    <w:rsid w:val="001B6227"/>
    <w:rsid w:val="001B7A03"/>
    <w:rsid w:val="001B7CA8"/>
    <w:rsid w:val="001B7D96"/>
    <w:rsid w:val="001C16C0"/>
    <w:rsid w:val="001C198C"/>
    <w:rsid w:val="001C3DA3"/>
    <w:rsid w:val="001C4C3B"/>
    <w:rsid w:val="001C4D93"/>
    <w:rsid w:val="001C5402"/>
    <w:rsid w:val="001C6170"/>
    <w:rsid w:val="001C6673"/>
    <w:rsid w:val="001C6FEC"/>
    <w:rsid w:val="001D3450"/>
    <w:rsid w:val="001D5600"/>
    <w:rsid w:val="001E09E5"/>
    <w:rsid w:val="001E477A"/>
    <w:rsid w:val="001E5AE2"/>
    <w:rsid w:val="001F0D51"/>
    <w:rsid w:val="001F1682"/>
    <w:rsid w:val="001F1CBB"/>
    <w:rsid w:val="001F1FB6"/>
    <w:rsid w:val="001F28CB"/>
    <w:rsid w:val="001F2D24"/>
    <w:rsid w:val="001F3D1A"/>
    <w:rsid w:val="001F5269"/>
    <w:rsid w:val="001F554C"/>
    <w:rsid w:val="001F63FA"/>
    <w:rsid w:val="001F7E6B"/>
    <w:rsid w:val="002030EE"/>
    <w:rsid w:val="00205E94"/>
    <w:rsid w:val="002113B1"/>
    <w:rsid w:val="00211AE1"/>
    <w:rsid w:val="00211FF4"/>
    <w:rsid w:val="0021216A"/>
    <w:rsid w:val="0021304A"/>
    <w:rsid w:val="002130AA"/>
    <w:rsid w:val="00214D0B"/>
    <w:rsid w:val="00215726"/>
    <w:rsid w:val="00215EC6"/>
    <w:rsid w:val="0022013C"/>
    <w:rsid w:val="00220F35"/>
    <w:rsid w:val="0022655F"/>
    <w:rsid w:val="00227FA2"/>
    <w:rsid w:val="002307C4"/>
    <w:rsid w:val="00230E9F"/>
    <w:rsid w:val="0023188B"/>
    <w:rsid w:val="00232AA3"/>
    <w:rsid w:val="002339B8"/>
    <w:rsid w:val="002347BF"/>
    <w:rsid w:val="002444E5"/>
    <w:rsid w:val="002467B1"/>
    <w:rsid w:val="00246CB6"/>
    <w:rsid w:val="002476E5"/>
    <w:rsid w:val="00247DAF"/>
    <w:rsid w:val="002500E4"/>
    <w:rsid w:val="002524D8"/>
    <w:rsid w:val="00252551"/>
    <w:rsid w:val="0025398A"/>
    <w:rsid w:val="00255E98"/>
    <w:rsid w:val="00256A02"/>
    <w:rsid w:val="00257074"/>
    <w:rsid w:val="00260EFF"/>
    <w:rsid w:val="0026212B"/>
    <w:rsid w:val="002651BD"/>
    <w:rsid w:val="002652E3"/>
    <w:rsid w:val="002664F0"/>
    <w:rsid w:val="00267BA9"/>
    <w:rsid w:val="002707AD"/>
    <w:rsid w:val="00272EB7"/>
    <w:rsid w:val="002746CA"/>
    <w:rsid w:val="00276184"/>
    <w:rsid w:val="00277D26"/>
    <w:rsid w:val="00283758"/>
    <w:rsid w:val="00283A99"/>
    <w:rsid w:val="00284256"/>
    <w:rsid w:val="00285267"/>
    <w:rsid w:val="002854EA"/>
    <w:rsid w:val="0028598C"/>
    <w:rsid w:val="00291742"/>
    <w:rsid w:val="00293B76"/>
    <w:rsid w:val="002949C7"/>
    <w:rsid w:val="002950EE"/>
    <w:rsid w:val="00297928"/>
    <w:rsid w:val="00297D69"/>
    <w:rsid w:val="002A0ED3"/>
    <w:rsid w:val="002A2595"/>
    <w:rsid w:val="002A2637"/>
    <w:rsid w:val="002A28DE"/>
    <w:rsid w:val="002A4172"/>
    <w:rsid w:val="002A5468"/>
    <w:rsid w:val="002A680F"/>
    <w:rsid w:val="002A7062"/>
    <w:rsid w:val="002B22E4"/>
    <w:rsid w:val="002B3449"/>
    <w:rsid w:val="002B68C7"/>
    <w:rsid w:val="002B7D68"/>
    <w:rsid w:val="002C364F"/>
    <w:rsid w:val="002C3B65"/>
    <w:rsid w:val="002C3EDD"/>
    <w:rsid w:val="002C4FA8"/>
    <w:rsid w:val="002D27A9"/>
    <w:rsid w:val="002D3AF0"/>
    <w:rsid w:val="002D77AD"/>
    <w:rsid w:val="002E248A"/>
    <w:rsid w:val="002E5CC6"/>
    <w:rsid w:val="002E6CC1"/>
    <w:rsid w:val="002F38A3"/>
    <w:rsid w:val="002F3E05"/>
    <w:rsid w:val="002F4C90"/>
    <w:rsid w:val="002F7071"/>
    <w:rsid w:val="002F726C"/>
    <w:rsid w:val="00300BCF"/>
    <w:rsid w:val="00300CE9"/>
    <w:rsid w:val="0030225E"/>
    <w:rsid w:val="00303835"/>
    <w:rsid w:val="0030476E"/>
    <w:rsid w:val="00305EBC"/>
    <w:rsid w:val="00306202"/>
    <w:rsid w:val="003062EA"/>
    <w:rsid w:val="00306CB7"/>
    <w:rsid w:val="00311B05"/>
    <w:rsid w:val="00311B5C"/>
    <w:rsid w:val="00313C18"/>
    <w:rsid w:val="00313DDE"/>
    <w:rsid w:val="00316F77"/>
    <w:rsid w:val="0031701A"/>
    <w:rsid w:val="00317484"/>
    <w:rsid w:val="00317CA9"/>
    <w:rsid w:val="00320732"/>
    <w:rsid w:val="00321C9C"/>
    <w:rsid w:val="00322BC8"/>
    <w:rsid w:val="0032329D"/>
    <w:rsid w:val="00324595"/>
    <w:rsid w:val="003257D8"/>
    <w:rsid w:val="00326646"/>
    <w:rsid w:val="00326663"/>
    <w:rsid w:val="003266AE"/>
    <w:rsid w:val="0033262F"/>
    <w:rsid w:val="00332FB5"/>
    <w:rsid w:val="00333F59"/>
    <w:rsid w:val="0033439F"/>
    <w:rsid w:val="00334D51"/>
    <w:rsid w:val="00335D7C"/>
    <w:rsid w:val="003361A3"/>
    <w:rsid w:val="00340117"/>
    <w:rsid w:val="003407A9"/>
    <w:rsid w:val="0034086C"/>
    <w:rsid w:val="003428E6"/>
    <w:rsid w:val="00343890"/>
    <w:rsid w:val="00344776"/>
    <w:rsid w:val="003448B3"/>
    <w:rsid w:val="00345643"/>
    <w:rsid w:val="0035071E"/>
    <w:rsid w:val="003507A2"/>
    <w:rsid w:val="00350C85"/>
    <w:rsid w:val="0035335A"/>
    <w:rsid w:val="00353926"/>
    <w:rsid w:val="00353F7C"/>
    <w:rsid w:val="003555AB"/>
    <w:rsid w:val="00356C45"/>
    <w:rsid w:val="00361364"/>
    <w:rsid w:val="003630BA"/>
    <w:rsid w:val="00365F21"/>
    <w:rsid w:val="00370E9D"/>
    <w:rsid w:val="00371876"/>
    <w:rsid w:val="00372D2A"/>
    <w:rsid w:val="00376801"/>
    <w:rsid w:val="0037773C"/>
    <w:rsid w:val="00383387"/>
    <w:rsid w:val="00383F57"/>
    <w:rsid w:val="00383F84"/>
    <w:rsid w:val="00384494"/>
    <w:rsid w:val="00385CBB"/>
    <w:rsid w:val="00387752"/>
    <w:rsid w:val="0039055F"/>
    <w:rsid w:val="00390CD0"/>
    <w:rsid w:val="003945D3"/>
    <w:rsid w:val="00394EA7"/>
    <w:rsid w:val="00395AFC"/>
    <w:rsid w:val="00396698"/>
    <w:rsid w:val="00397066"/>
    <w:rsid w:val="003A013B"/>
    <w:rsid w:val="003A230B"/>
    <w:rsid w:val="003A3E78"/>
    <w:rsid w:val="003A50AE"/>
    <w:rsid w:val="003A77C9"/>
    <w:rsid w:val="003A79C4"/>
    <w:rsid w:val="003B66E8"/>
    <w:rsid w:val="003C08B8"/>
    <w:rsid w:val="003C2905"/>
    <w:rsid w:val="003C3B06"/>
    <w:rsid w:val="003C3FA7"/>
    <w:rsid w:val="003C5E58"/>
    <w:rsid w:val="003C6864"/>
    <w:rsid w:val="003C6DC0"/>
    <w:rsid w:val="003C70CA"/>
    <w:rsid w:val="003D2006"/>
    <w:rsid w:val="003D2CB2"/>
    <w:rsid w:val="003D3B6D"/>
    <w:rsid w:val="003D4C7F"/>
    <w:rsid w:val="003E4C47"/>
    <w:rsid w:val="003E6987"/>
    <w:rsid w:val="003E7E4D"/>
    <w:rsid w:val="003F004E"/>
    <w:rsid w:val="003F0A48"/>
    <w:rsid w:val="003F0A61"/>
    <w:rsid w:val="003F3694"/>
    <w:rsid w:val="003F686C"/>
    <w:rsid w:val="00401AE3"/>
    <w:rsid w:val="00403B42"/>
    <w:rsid w:val="00404633"/>
    <w:rsid w:val="00404E83"/>
    <w:rsid w:val="00405015"/>
    <w:rsid w:val="00406817"/>
    <w:rsid w:val="00406F79"/>
    <w:rsid w:val="004073A4"/>
    <w:rsid w:val="00407694"/>
    <w:rsid w:val="00407CD7"/>
    <w:rsid w:val="00410C39"/>
    <w:rsid w:val="00411B9E"/>
    <w:rsid w:val="00415577"/>
    <w:rsid w:val="004158F6"/>
    <w:rsid w:val="004217F0"/>
    <w:rsid w:val="004235A2"/>
    <w:rsid w:val="00426214"/>
    <w:rsid w:val="00426B73"/>
    <w:rsid w:val="00426C13"/>
    <w:rsid w:val="004270BC"/>
    <w:rsid w:val="004320D3"/>
    <w:rsid w:val="00434E26"/>
    <w:rsid w:val="00434EEA"/>
    <w:rsid w:val="00436493"/>
    <w:rsid w:val="00437DF3"/>
    <w:rsid w:val="00440458"/>
    <w:rsid w:val="00443BC4"/>
    <w:rsid w:val="00447961"/>
    <w:rsid w:val="004514EA"/>
    <w:rsid w:val="0045350A"/>
    <w:rsid w:val="004543C4"/>
    <w:rsid w:val="00454EAA"/>
    <w:rsid w:val="0045562C"/>
    <w:rsid w:val="00455FE7"/>
    <w:rsid w:val="004621B3"/>
    <w:rsid w:val="00463C29"/>
    <w:rsid w:val="00465959"/>
    <w:rsid w:val="004724C5"/>
    <w:rsid w:val="00472934"/>
    <w:rsid w:val="00474ACE"/>
    <w:rsid w:val="00475EB7"/>
    <w:rsid w:val="00476456"/>
    <w:rsid w:val="004764A5"/>
    <w:rsid w:val="00476559"/>
    <w:rsid w:val="00477BD7"/>
    <w:rsid w:val="004806EE"/>
    <w:rsid w:val="004831DC"/>
    <w:rsid w:val="004837F7"/>
    <w:rsid w:val="00484B4D"/>
    <w:rsid w:val="00487BFA"/>
    <w:rsid w:val="004910D4"/>
    <w:rsid w:val="00492E8A"/>
    <w:rsid w:val="00495DCF"/>
    <w:rsid w:val="00496EDF"/>
    <w:rsid w:val="004A0797"/>
    <w:rsid w:val="004A169F"/>
    <w:rsid w:val="004A60D6"/>
    <w:rsid w:val="004A6EA0"/>
    <w:rsid w:val="004B11EF"/>
    <w:rsid w:val="004B30B3"/>
    <w:rsid w:val="004B347E"/>
    <w:rsid w:val="004B4126"/>
    <w:rsid w:val="004B429E"/>
    <w:rsid w:val="004B43F7"/>
    <w:rsid w:val="004B62E6"/>
    <w:rsid w:val="004B663A"/>
    <w:rsid w:val="004C07C6"/>
    <w:rsid w:val="004C3288"/>
    <w:rsid w:val="004C3C46"/>
    <w:rsid w:val="004C471B"/>
    <w:rsid w:val="004C4F75"/>
    <w:rsid w:val="004C72CB"/>
    <w:rsid w:val="004D1E01"/>
    <w:rsid w:val="004D20E3"/>
    <w:rsid w:val="004D3B6C"/>
    <w:rsid w:val="004E2521"/>
    <w:rsid w:val="004E4B0E"/>
    <w:rsid w:val="004E5BA3"/>
    <w:rsid w:val="004E6549"/>
    <w:rsid w:val="004E7AA2"/>
    <w:rsid w:val="004F06A9"/>
    <w:rsid w:val="004F0771"/>
    <w:rsid w:val="004F08B8"/>
    <w:rsid w:val="004F1383"/>
    <w:rsid w:val="004F2C40"/>
    <w:rsid w:val="004F2F23"/>
    <w:rsid w:val="004F4034"/>
    <w:rsid w:val="004F4ECB"/>
    <w:rsid w:val="004F4F58"/>
    <w:rsid w:val="005007FC"/>
    <w:rsid w:val="00502268"/>
    <w:rsid w:val="00502DA2"/>
    <w:rsid w:val="00503A53"/>
    <w:rsid w:val="0050603B"/>
    <w:rsid w:val="00507344"/>
    <w:rsid w:val="005106CC"/>
    <w:rsid w:val="005129F9"/>
    <w:rsid w:val="00512E2A"/>
    <w:rsid w:val="005158CB"/>
    <w:rsid w:val="00520A93"/>
    <w:rsid w:val="00520F02"/>
    <w:rsid w:val="005233F1"/>
    <w:rsid w:val="00523811"/>
    <w:rsid w:val="0052560A"/>
    <w:rsid w:val="00526C98"/>
    <w:rsid w:val="00530ED5"/>
    <w:rsid w:val="005313AE"/>
    <w:rsid w:val="0053260E"/>
    <w:rsid w:val="005346CC"/>
    <w:rsid w:val="00534CFD"/>
    <w:rsid w:val="00535751"/>
    <w:rsid w:val="00536611"/>
    <w:rsid w:val="00537F3E"/>
    <w:rsid w:val="0054152D"/>
    <w:rsid w:val="00541FD2"/>
    <w:rsid w:val="00542124"/>
    <w:rsid w:val="005421CF"/>
    <w:rsid w:val="005422F7"/>
    <w:rsid w:val="00542B27"/>
    <w:rsid w:val="00543D28"/>
    <w:rsid w:val="00545051"/>
    <w:rsid w:val="00545864"/>
    <w:rsid w:val="00547335"/>
    <w:rsid w:val="00547509"/>
    <w:rsid w:val="00551056"/>
    <w:rsid w:val="005529B5"/>
    <w:rsid w:val="005547C4"/>
    <w:rsid w:val="00555C14"/>
    <w:rsid w:val="00561E17"/>
    <w:rsid w:val="00563B73"/>
    <w:rsid w:val="00564037"/>
    <w:rsid w:val="0056522A"/>
    <w:rsid w:val="00565272"/>
    <w:rsid w:val="00565F49"/>
    <w:rsid w:val="00573920"/>
    <w:rsid w:val="005767DE"/>
    <w:rsid w:val="00577E5D"/>
    <w:rsid w:val="0058157F"/>
    <w:rsid w:val="00583DFF"/>
    <w:rsid w:val="005846E3"/>
    <w:rsid w:val="0058766F"/>
    <w:rsid w:val="005905C3"/>
    <w:rsid w:val="005941F3"/>
    <w:rsid w:val="00596E13"/>
    <w:rsid w:val="005979E9"/>
    <w:rsid w:val="005A04C2"/>
    <w:rsid w:val="005A1624"/>
    <w:rsid w:val="005A1F91"/>
    <w:rsid w:val="005A301B"/>
    <w:rsid w:val="005A3D6D"/>
    <w:rsid w:val="005A5495"/>
    <w:rsid w:val="005A5507"/>
    <w:rsid w:val="005A654C"/>
    <w:rsid w:val="005A65C6"/>
    <w:rsid w:val="005A6782"/>
    <w:rsid w:val="005A7357"/>
    <w:rsid w:val="005B078C"/>
    <w:rsid w:val="005B08B6"/>
    <w:rsid w:val="005B3DB7"/>
    <w:rsid w:val="005B6096"/>
    <w:rsid w:val="005B7A5B"/>
    <w:rsid w:val="005B7D72"/>
    <w:rsid w:val="005C0198"/>
    <w:rsid w:val="005C11A2"/>
    <w:rsid w:val="005C539C"/>
    <w:rsid w:val="005C5753"/>
    <w:rsid w:val="005C5C03"/>
    <w:rsid w:val="005C5E82"/>
    <w:rsid w:val="005C677E"/>
    <w:rsid w:val="005C7B55"/>
    <w:rsid w:val="005D2F3E"/>
    <w:rsid w:val="005D5E9D"/>
    <w:rsid w:val="005E0895"/>
    <w:rsid w:val="005E3012"/>
    <w:rsid w:val="005E5E5E"/>
    <w:rsid w:val="005F1843"/>
    <w:rsid w:val="005F4287"/>
    <w:rsid w:val="005F4FAC"/>
    <w:rsid w:val="005F6F7C"/>
    <w:rsid w:val="00602B2F"/>
    <w:rsid w:val="0060301F"/>
    <w:rsid w:val="00603466"/>
    <w:rsid w:val="006051E8"/>
    <w:rsid w:val="00606338"/>
    <w:rsid w:val="006071B2"/>
    <w:rsid w:val="00612D48"/>
    <w:rsid w:val="006137E8"/>
    <w:rsid w:val="00614CBE"/>
    <w:rsid w:val="00615877"/>
    <w:rsid w:val="006202A0"/>
    <w:rsid w:val="00626257"/>
    <w:rsid w:val="0062751E"/>
    <w:rsid w:val="00631A21"/>
    <w:rsid w:val="00632746"/>
    <w:rsid w:val="006329BB"/>
    <w:rsid w:val="00634A75"/>
    <w:rsid w:val="006368F5"/>
    <w:rsid w:val="00636E34"/>
    <w:rsid w:val="006418F3"/>
    <w:rsid w:val="0064198B"/>
    <w:rsid w:val="006426D7"/>
    <w:rsid w:val="00643ECF"/>
    <w:rsid w:val="00644ED7"/>
    <w:rsid w:val="006501C6"/>
    <w:rsid w:val="00652251"/>
    <w:rsid w:val="006524C5"/>
    <w:rsid w:val="006538C3"/>
    <w:rsid w:val="006552FB"/>
    <w:rsid w:val="0066273E"/>
    <w:rsid w:val="00663A31"/>
    <w:rsid w:val="006644FC"/>
    <w:rsid w:val="00666063"/>
    <w:rsid w:val="00666FBF"/>
    <w:rsid w:val="00667823"/>
    <w:rsid w:val="006716B8"/>
    <w:rsid w:val="00672FA2"/>
    <w:rsid w:val="0067539A"/>
    <w:rsid w:val="0067620E"/>
    <w:rsid w:val="00676A21"/>
    <w:rsid w:val="00676E61"/>
    <w:rsid w:val="00677706"/>
    <w:rsid w:val="00677FDC"/>
    <w:rsid w:val="00680037"/>
    <w:rsid w:val="00680C6B"/>
    <w:rsid w:val="006818FB"/>
    <w:rsid w:val="0068671F"/>
    <w:rsid w:val="00690E32"/>
    <w:rsid w:val="006941D3"/>
    <w:rsid w:val="00696ADF"/>
    <w:rsid w:val="006A2E4A"/>
    <w:rsid w:val="006A31A9"/>
    <w:rsid w:val="006A5514"/>
    <w:rsid w:val="006B0E2D"/>
    <w:rsid w:val="006B1791"/>
    <w:rsid w:val="006B28D6"/>
    <w:rsid w:val="006B4957"/>
    <w:rsid w:val="006B59AB"/>
    <w:rsid w:val="006B59DB"/>
    <w:rsid w:val="006B61E6"/>
    <w:rsid w:val="006B6317"/>
    <w:rsid w:val="006C0D20"/>
    <w:rsid w:val="006C412F"/>
    <w:rsid w:val="006C4420"/>
    <w:rsid w:val="006C59CC"/>
    <w:rsid w:val="006C6BE3"/>
    <w:rsid w:val="006D0E10"/>
    <w:rsid w:val="006D56CD"/>
    <w:rsid w:val="006D70D3"/>
    <w:rsid w:val="006D7B84"/>
    <w:rsid w:val="006E27DD"/>
    <w:rsid w:val="006E39ED"/>
    <w:rsid w:val="006E5AC1"/>
    <w:rsid w:val="006E5B07"/>
    <w:rsid w:val="006E5F52"/>
    <w:rsid w:val="006E67E7"/>
    <w:rsid w:val="006F1D40"/>
    <w:rsid w:val="006F290C"/>
    <w:rsid w:val="006F3C54"/>
    <w:rsid w:val="006F5135"/>
    <w:rsid w:val="007011BB"/>
    <w:rsid w:val="00701477"/>
    <w:rsid w:val="00703FB5"/>
    <w:rsid w:val="00704678"/>
    <w:rsid w:val="0070503D"/>
    <w:rsid w:val="007050EC"/>
    <w:rsid w:val="00705766"/>
    <w:rsid w:val="00710D2A"/>
    <w:rsid w:val="00712247"/>
    <w:rsid w:val="00712F52"/>
    <w:rsid w:val="0071405D"/>
    <w:rsid w:val="00715449"/>
    <w:rsid w:val="007165BE"/>
    <w:rsid w:val="00716F6E"/>
    <w:rsid w:val="0071737B"/>
    <w:rsid w:val="007208C0"/>
    <w:rsid w:val="00720A41"/>
    <w:rsid w:val="00723F43"/>
    <w:rsid w:val="00724DB5"/>
    <w:rsid w:val="007259DF"/>
    <w:rsid w:val="0072742E"/>
    <w:rsid w:val="00727AD2"/>
    <w:rsid w:val="00731E40"/>
    <w:rsid w:val="007324C7"/>
    <w:rsid w:val="00732633"/>
    <w:rsid w:val="00732E2A"/>
    <w:rsid w:val="00733D0E"/>
    <w:rsid w:val="0073476C"/>
    <w:rsid w:val="007357B7"/>
    <w:rsid w:val="00736E6C"/>
    <w:rsid w:val="00737669"/>
    <w:rsid w:val="0073786F"/>
    <w:rsid w:val="00741A65"/>
    <w:rsid w:val="00744B15"/>
    <w:rsid w:val="0074687C"/>
    <w:rsid w:val="007503BB"/>
    <w:rsid w:val="00750AD6"/>
    <w:rsid w:val="00750D05"/>
    <w:rsid w:val="0075119D"/>
    <w:rsid w:val="00752D66"/>
    <w:rsid w:val="0075455A"/>
    <w:rsid w:val="00754A8A"/>
    <w:rsid w:val="00756D0E"/>
    <w:rsid w:val="00756D45"/>
    <w:rsid w:val="007571FC"/>
    <w:rsid w:val="00757E25"/>
    <w:rsid w:val="0076005F"/>
    <w:rsid w:val="007601EE"/>
    <w:rsid w:val="0076237A"/>
    <w:rsid w:val="00764D81"/>
    <w:rsid w:val="00765DC7"/>
    <w:rsid w:val="00766A14"/>
    <w:rsid w:val="00773134"/>
    <w:rsid w:val="00774E54"/>
    <w:rsid w:val="007753D6"/>
    <w:rsid w:val="00776BCA"/>
    <w:rsid w:val="0078057D"/>
    <w:rsid w:val="00780872"/>
    <w:rsid w:val="007810F9"/>
    <w:rsid w:val="007816EF"/>
    <w:rsid w:val="0078225E"/>
    <w:rsid w:val="00783551"/>
    <w:rsid w:val="00784555"/>
    <w:rsid w:val="00784F38"/>
    <w:rsid w:val="007872F5"/>
    <w:rsid w:val="00787C76"/>
    <w:rsid w:val="007910F2"/>
    <w:rsid w:val="00791DCD"/>
    <w:rsid w:val="00792746"/>
    <w:rsid w:val="00792A5F"/>
    <w:rsid w:val="00793810"/>
    <w:rsid w:val="00795FAA"/>
    <w:rsid w:val="00796DC9"/>
    <w:rsid w:val="007A0D75"/>
    <w:rsid w:val="007A1C67"/>
    <w:rsid w:val="007A2565"/>
    <w:rsid w:val="007A3CC9"/>
    <w:rsid w:val="007A6A1D"/>
    <w:rsid w:val="007A77FA"/>
    <w:rsid w:val="007B2181"/>
    <w:rsid w:val="007B2223"/>
    <w:rsid w:val="007B4656"/>
    <w:rsid w:val="007C077A"/>
    <w:rsid w:val="007C110D"/>
    <w:rsid w:val="007C2041"/>
    <w:rsid w:val="007C268B"/>
    <w:rsid w:val="007C6707"/>
    <w:rsid w:val="007C7B83"/>
    <w:rsid w:val="007C7E25"/>
    <w:rsid w:val="007D0042"/>
    <w:rsid w:val="007D0860"/>
    <w:rsid w:val="007D25DE"/>
    <w:rsid w:val="007D2A6B"/>
    <w:rsid w:val="007D41B4"/>
    <w:rsid w:val="007D498A"/>
    <w:rsid w:val="007D6FCB"/>
    <w:rsid w:val="007D72B7"/>
    <w:rsid w:val="007D7A4E"/>
    <w:rsid w:val="007D7C48"/>
    <w:rsid w:val="007D7EB1"/>
    <w:rsid w:val="007E02A4"/>
    <w:rsid w:val="007E37FA"/>
    <w:rsid w:val="007E4C74"/>
    <w:rsid w:val="007F60D9"/>
    <w:rsid w:val="007F7A9C"/>
    <w:rsid w:val="00801153"/>
    <w:rsid w:val="00802CB7"/>
    <w:rsid w:val="0080321C"/>
    <w:rsid w:val="00803231"/>
    <w:rsid w:val="00804168"/>
    <w:rsid w:val="00806F12"/>
    <w:rsid w:val="00810DC5"/>
    <w:rsid w:val="008110E8"/>
    <w:rsid w:val="008147EC"/>
    <w:rsid w:val="00815E49"/>
    <w:rsid w:val="0081614C"/>
    <w:rsid w:val="00816180"/>
    <w:rsid w:val="00820A67"/>
    <w:rsid w:val="00821E2F"/>
    <w:rsid w:val="008242DE"/>
    <w:rsid w:val="00824363"/>
    <w:rsid w:val="008246B8"/>
    <w:rsid w:val="008247B0"/>
    <w:rsid w:val="008247DA"/>
    <w:rsid w:val="00824E1F"/>
    <w:rsid w:val="0082643C"/>
    <w:rsid w:val="008276CE"/>
    <w:rsid w:val="008279C9"/>
    <w:rsid w:val="00840CDF"/>
    <w:rsid w:val="0084234E"/>
    <w:rsid w:val="0084451A"/>
    <w:rsid w:val="00844EA1"/>
    <w:rsid w:val="0085249C"/>
    <w:rsid w:val="00853132"/>
    <w:rsid w:val="00857994"/>
    <w:rsid w:val="00860BA7"/>
    <w:rsid w:val="00864712"/>
    <w:rsid w:val="00864CA5"/>
    <w:rsid w:val="0086539A"/>
    <w:rsid w:val="00870242"/>
    <w:rsid w:val="00871880"/>
    <w:rsid w:val="00872437"/>
    <w:rsid w:val="0087344F"/>
    <w:rsid w:val="00876976"/>
    <w:rsid w:val="008801B4"/>
    <w:rsid w:val="0088037D"/>
    <w:rsid w:val="008819AD"/>
    <w:rsid w:val="00885126"/>
    <w:rsid w:val="00885C01"/>
    <w:rsid w:val="008864FE"/>
    <w:rsid w:val="00886E03"/>
    <w:rsid w:val="008873C3"/>
    <w:rsid w:val="008876FF"/>
    <w:rsid w:val="00890BF3"/>
    <w:rsid w:val="008937AD"/>
    <w:rsid w:val="00896DCE"/>
    <w:rsid w:val="008A3F69"/>
    <w:rsid w:val="008A4F40"/>
    <w:rsid w:val="008A6C96"/>
    <w:rsid w:val="008C0F24"/>
    <w:rsid w:val="008C244F"/>
    <w:rsid w:val="008C4820"/>
    <w:rsid w:val="008C5EDD"/>
    <w:rsid w:val="008C7527"/>
    <w:rsid w:val="008C76FD"/>
    <w:rsid w:val="008C7C28"/>
    <w:rsid w:val="008E1379"/>
    <w:rsid w:val="008E368D"/>
    <w:rsid w:val="008E3708"/>
    <w:rsid w:val="008E3BD1"/>
    <w:rsid w:val="008E6D9D"/>
    <w:rsid w:val="008E73AF"/>
    <w:rsid w:val="008F008A"/>
    <w:rsid w:val="008F00F2"/>
    <w:rsid w:val="008F0776"/>
    <w:rsid w:val="008F3786"/>
    <w:rsid w:val="008F5556"/>
    <w:rsid w:val="008F5DCD"/>
    <w:rsid w:val="008F6D6B"/>
    <w:rsid w:val="008F704D"/>
    <w:rsid w:val="00903246"/>
    <w:rsid w:val="00903262"/>
    <w:rsid w:val="009044AF"/>
    <w:rsid w:val="00905361"/>
    <w:rsid w:val="009063B7"/>
    <w:rsid w:val="009100ED"/>
    <w:rsid w:val="009111CD"/>
    <w:rsid w:val="0091193A"/>
    <w:rsid w:val="009120C4"/>
    <w:rsid w:val="009122ED"/>
    <w:rsid w:val="00912D64"/>
    <w:rsid w:val="00913E8E"/>
    <w:rsid w:val="009141EB"/>
    <w:rsid w:val="0091632B"/>
    <w:rsid w:val="009206B0"/>
    <w:rsid w:val="00920FA8"/>
    <w:rsid w:val="009215C1"/>
    <w:rsid w:val="00921623"/>
    <w:rsid w:val="00922BED"/>
    <w:rsid w:val="0092530E"/>
    <w:rsid w:val="00926242"/>
    <w:rsid w:val="00927B05"/>
    <w:rsid w:val="00931615"/>
    <w:rsid w:val="009333B9"/>
    <w:rsid w:val="00934366"/>
    <w:rsid w:val="00936C19"/>
    <w:rsid w:val="0093757B"/>
    <w:rsid w:val="00937E5A"/>
    <w:rsid w:val="009408B5"/>
    <w:rsid w:val="0094190F"/>
    <w:rsid w:val="00942CD8"/>
    <w:rsid w:val="009433E8"/>
    <w:rsid w:val="009437C9"/>
    <w:rsid w:val="009440DD"/>
    <w:rsid w:val="009441C5"/>
    <w:rsid w:val="00944A6B"/>
    <w:rsid w:val="009461F1"/>
    <w:rsid w:val="00950CDE"/>
    <w:rsid w:val="009510E3"/>
    <w:rsid w:val="00951FAB"/>
    <w:rsid w:val="00955471"/>
    <w:rsid w:val="00955DEE"/>
    <w:rsid w:val="009567C1"/>
    <w:rsid w:val="0096348B"/>
    <w:rsid w:val="0096590E"/>
    <w:rsid w:val="00966B82"/>
    <w:rsid w:val="009705AC"/>
    <w:rsid w:val="00972690"/>
    <w:rsid w:val="0097440C"/>
    <w:rsid w:val="00977690"/>
    <w:rsid w:val="0098205F"/>
    <w:rsid w:val="0099008A"/>
    <w:rsid w:val="00990939"/>
    <w:rsid w:val="009913B6"/>
    <w:rsid w:val="009919E0"/>
    <w:rsid w:val="00996548"/>
    <w:rsid w:val="00997305"/>
    <w:rsid w:val="009978FB"/>
    <w:rsid w:val="009A24D1"/>
    <w:rsid w:val="009A2992"/>
    <w:rsid w:val="009A59B5"/>
    <w:rsid w:val="009A7BAD"/>
    <w:rsid w:val="009B0D51"/>
    <w:rsid w:val="009B19E3"/>
    <w:rsid w:val="009B1E3B"/>
    <w:rsid w:val="009B5519"/>
    <w:rsid w:val="009B7AB6"/>
    <w:rsid w:val="009C1C1F"/>
    <w:rsid w:val="009C1CE0"/>
    <w:rsid w:val="009C2C6D"/>
    <w:rsid w:val="009D212B"/>
    <w:rsid w:val="009D4FDF"/>
    <w:rsid w:val="009D5E1F"/>
    <w:rsid w:val="009D7684"/>
    <w:rsid w:val="009D793F"/>
    <w:rsid w:val="009E1814"/>
    <w:rsid w:val="009E1E48"/>
    <w:rsid w:val="009E293D"/>
    <w:rsid w:val="009E3C54"/>
    <w:rsid w:val="009E48A5"/>
    <w:rsid w:val="009E5BE8"/>
    <w:rsid w:val="009E5C23"/>
    <w:rsid w:val="009E6C09"/>
    <w:rsid w:val="009E7414"/>
    <w:rsid w:val="009F1E32"/>
    <w:rsid w:val="009F444A"/>
    <w:rsid w:val="009F4537"/>
    <w:rsid w:val="009F6B9D"/>
    <w:rsid w:val="00A00932"/>
    <w:rsid w:val="00A00997"/>
    <w:rsid w:val="00A00E83"/>
    <w:rsid w:val="00A0241F"/>
    <w:rsid w:val="00A035E6"/>
    <w:rsid w:val="00A07EEF"/>
    <w:rsid w:val="00A10204"/>
    <w:rsid w:val="00A12ADE"/>
    <w:rsid w:val="00A143FA"/>
    <w:rsid w:val="00A20E7B"/>
    <w:rsid w:val="00A224E1"/>
    <w:rsid w:val="00A2403E"/>
    <w:rsid w:val="00A256BF"/>
    <w:rsid w:val="00A31D7A"/>
    <w:rsid w:val="00A320D5"/>
    <w:rsid w:val="00A32494"/>
    <w:rsid w:val="00A34007"/>
    <w:rsid w:val="00A35B43"/>
    <w:rsid w:val="00A36416"/>
    <w:rsid w:val="00A403BA"/>
    <w:rsid w:val="00A426B8"/>
    <w:rsid w:val="00A460F7"/>
    <w:rsid w:val="00A46257"/>
    <w:rsid w:val="00A46D0F"/>
    <w:rsid w:val="00A53551"/>
    <w:rsid w:val="00A53A76"/>
    <w:rsid w:val="00A54462"/>
    <w:rsid w:val="00A627C2"/>
    <w:rsid w:val="00A6294D"/>
    <w:rsid w:val="00A63D13"/>
    <w:rsid w:val="00A63E97"/>
    <w:rsid w:val="00A65687"/>
    <w:rsid w:val="00A65853"/>
    <w:rsid w:val="00A66B79"/>
    <w:rsid w:val="00A66D2B"/>
    <w:rsid w:val="00A777F1"/>
    <w:rsid w:val="00A80176"/>
    <w:rsid w:val="00A80DDA"/>
    <w:rsid w:val="00A8269C"/>
    <w:rsid w:val="00A83D4C"/>
    <w:rsid w:val="00A8423E"/>
    <w:rsid w:val="00A93E1B"/>
    <w:rsid w:val="00A95EE3"/>
    <w:rsid w:val="00AA04E7"/>
    <w:rsid w:val="00AA1D0B"/>
    <w:rsid w:val="00AA503F"/>
    <w:rsid w:val="00AA7805"/>
    <w:rsid w:val="00AB20EF"/>
    <w:rsid w:val="00AB3BD6"/>
    <w:rsid w:val="00AC155C"/>
    <w:rsid w:val="00AC15F8"/>
    <w:rsid w:val="00AC16A1"/>
    <w:rsid w:val="00AC1C95"/>
    <w:rsid w:val="00AC39FF"/>
    <w:rsid w:val="00AC4DA5"/>
    <w:rsid w:val="00AC6575"/>
    <w:rsid w:val="00AD0489"/>
    <w:rsid w:val="00AD1812"/>
    <w:rsid w:val="00AD18BF"/>
    <w:rsid w:val="00AD1C51"/>
    <w:rsid w:val="00AD3C98"/>
    <w:rsid w:val="00AD445E"/>
    <w:rsid w:val="00AD5D96"/>
    <w:rsid w:val="00AD636A"/>
    <w:rsid w:val="00AD7213"/>
    <w:rsid w:val="00AD785B"/>
    <w:rsid w:val="00AE03F2"/>
    <w:rsid w:val="00AE1A61"/>
    <w:rsid w:val="00AE7177"/>
    <w:rsid w:val="00AF170B"/>
    <w:rsid w:val="00AF17B5"/>
    <w:rsid w:val="00AF18D5"/>
    <w:rsid w:val="00AF1B3D"/>
    <w:rsid w:val="00AF60E2"/>
    <w:rsid w:val="00AF6223"/>
    <w:rsid w:val="00AF6A4B"/>
    <w:rsid w:val="00AF7BC2"/>
    <w:rsid w:val="00B00581"/>
    <w:rsid w:val="00B03A27"/>
    <w:rsid w:val="00B044C1"/>
    <w:rsid w:val="00B04E8C"/>
    <w:rsid w:val="00B06566"/>
    <w:rsid w:val="00B06952"/>
    <w:rsid w:val="00B079F9"/>
    <w:rsid w:val="00B1044F"/>
    <w:rsid w:val="00B111E0"/>
    <w:rsid w:val="00B12D98"/>
    <w:rsid w:val="00B15596"/>
    <w:rsid w:val="00B1653C"/>
    <w:rsid w:val="00B17739"/>
    <w:rsid w:val="00B17917"/>
    <w:rsid w:val="00B17C25"/>
    <w:rsid w:val="00B17F46"/>
    <w:rsid w:val="00B20656"/>
    <w:rsid w:val="00B220B6"/>
    <w:rsid w:val="00B22462"/>
    <w:rsid w:val="00B25819"/>
    <w:rsid w:val="00B25DC5"/>
    <w:rsid w:val="00B26F28"/>
    <w:rsid w:val="00B30A36"/>
    <w:rsid w:val="00B31D16"/>
    <w:rsid w:val="00B33CA6"/>
    <w:rsid w:val="00B43A36"/>
    <w:rsid w:val="00B54883"/>
    <w:rsid w:val="00B557B6"/>
    <w:rsid w:val="00B55C51"/>
    <w:rsid w:val="00B62249"/>
    <w:rsid w:val="00B65D4D"/>
    <w:rsid w:val="00B67E5C"/>
    <w:rsid w:val="00B72D10"/>
    <w:rsid w:val="00B72DDF"/>
    <w:rsid w:val="00B753C5"/>
    <w:rsid w:val="00B820B0"/>
    <w:rsid w:val="00B86AFC"/>
    <w:rsid w:val="00B8707C"/>
    <w:rsid w:val="00B918B9"/>
    <w:rsid w:val="00B92C86"/>
    <w:rsid w:val="00B96FC6"/>
    <w:rsid w:val="00B97556"/>
    <w:rsid w:val="00B97DF4"/>
    <w:rsid w:val="00BA2CF5"/>
    <w:rsid w:val="00BA3BBE"/>
    <w:rsid w:val="00BA60CE"/>
    <w:rsid w:val="00BA7186"/>
    <w:rsid w:val="00BA784A"/>
    <w:rsid w:val="00BB3A93"/>
    <w:rsid w:val="00BB3E05"/>
    <w:rsid w:val="00BB4309"/>
    <w:rsid w:val="00BC2464"/>
    <w:rsid w:val="00BC2792"/>
    <w:rsid w:val="00BC2FA7"/>
    <w:rsid w:val="00BC3214"/>
    <w:rsid w:val="00BC3A4A"/>
    <w:rsid w:val="00BC47C1"/>
    <w:rsid w:val="00BC4F84"/>
    <w:rsid w:val="00BC69B6"/>
    <w:rsid w:val="00BC6DA0"/>
    <w:rsid w:val="00BC6E66"/>
    <w:rsid w:val="00BC720E"/>
    <w:rsid w:val="00BD00D0"/>
    <w:rsid w:val="00BD3849"/>
    <w:rsid w:val="00BD61C4"/>
    <w:rsid w:val="00BE18C3"/>
    <w:rsid w:val="00BE203E"/>
    <w:rsid w:val="00BE2BF7"/>
    <w:rsid w:val="00BE346F"/>
    <w:rsid w:val="00BE58A7"/>
    <w:rsid w:val="00BE6981"/>
    <w:rsid w:val="00BE7156"/>
    <w:rsid w:val="00BE7A4A"/>
    <w:rsid w:val="00BF1414"/>
    <w:rsid w:val="00BF2E44"/>
    <w:rsid w:val="00BF406E"/>
    <w:rsid w:val="00BF4134"/>
    <w:rsid w:val="00BF5AC1"/>
    <w:rsid w:val="00C007B4"/>
    <w:rsid w:val="00C022CD"/>
    <w:rsid w:val="00C07708"/>
    <w:rsid w:val="00C07E32"/>
    <w:rsid w:val="00C10D60"/>
    <w:rsid w:val="00C10F21"/>
    <w:rsid w:val="00C133DD"/>
    <w:rsid w:val="00C2195D"/>
    <w:rsid w:val="00C23E48"/>
    <w:rsid w:val="00C24A5E"/>
    <w:rsid w:val="00C251D8"/>
    <w:rsid w:val="00C25646"/>
    <w:rsid w:val="00C27706"/>
    <w:rsid w:val="00C278B9"/>
    <w:rsid w:val="00C27B7B"/>
    <w:rsid w:val="00C33FFF"/>
    <w:rsid w:val="00C34E7F"/>
    <w:rsid w:val="00C35A2F"/>
    <w:rsid w:val="00C35C9F"/>
    <w:rsid w:val="00C3608F"/>
    <w:rsid w:val="00C37DD9"/>
    <w:rsid w:val="00C4103A"/>
    <w:rsid w:val="00C41245"/>
    <w:rsid w:val="00C416B1"/>
    <w:rsid w:val="00C424AB"/>
    <w:rsid w:val="00C44A75"/>
    <w:rsid w:val="00C44F66"/>
    <w:rsid w:val="00C454A8"/>
    <w:rsid w:val="00C46BDD"/>
    <w:rsid w:val="00C470D0"/>
    <w:rsid w:val="00C4758E"/>
    <w:rsid w:val="00C5077A"/>
    <w:rsid w:val="00C513C0"/>
    <w:rsid w:val="00C5222B"/>
    <w:rsid w:val="00C54988"/>
    <w:rsid w:val="00C54A0A"/>
    <w:rsid w:val="00C54AA1"/>
    <w:rsid w:val="00C56CC5"/>
    <w:rsid w:val="00C610F3"/>
    <w:rsid w:val="00C63153"/>
    <w:rsid w:val="00C72CE4"/>
    <w:rsid w:val="00C73E49"/>
    <w:rsid w:val="00C746FA"/>
    <w:rsid w:val="00C74DAF"/>
    <w:rsid w:val="00C770DB"/>
    <w:rsid w:val="00C84B8F"/>
    <w:rsid w:val="00C85016"/>
    <w:rsid w:val="00C86DF4"/>
    <w:rsid w:val="00C87146"/>
    <w:rsid w:val="00C91884"/>
    <w:rsid w:val="00C91C7C"/>
    <w:rsid w:val="00C92713"/>
    <w:rsid w:val="00C947F0"/>
    <w:rsid w:val="00C957EC"/>
    <w:rsid w:val="00C962CC"/>
    <w:rsid w:val="00C968F9"/>
    <w:rsid w:val="00C97205"/>
    <w:rsid w:val="00C97D9F"/>
    <w:rsid w:val="00C97DD2"/>
    <w:rsid w:val="00CA05C2"/>
    <w:rsid w:val="00CA0FD7"/>
    <w:rsid w:val="00CA22FE"/>
    <w:rsid w:val="00CA4ACA"/>
    <w:rsid w:val="00CA7100"/>
    <w:rsid w:val="00CA77FF"/>
    <w:rsid w:val="00CA7B46"/>
    <w:rsid w:val="00CB0F2D"/>
    <w:rsid w:val="00CB1712"/>
    <w:rsid w:val="00CB3D50"/>
    <w:rsid w:val="00CB5246"/>
    <w:rsid w:val="00CB53C1"/>
    <w:rsid w:val="00CC2665"/>
    <w:rsid w:val="00CC4242"/>
    <w:rsid w:val="00CC7F72"/>
    <w:rsid w:val="00CD02D6"/>
    <w:rsid w:val="00CD2778"/>
    <w:rsid w:val="00CD34DF"/>
    <w:rsid w:val="00CD4179"/>
    <w:rsid w:val="00CE05C5"/>
    <w:rsid w:val="00CE225E"/>
    <w:rsid w:val="00CE2707"/>
    <w:rsid w:val="00CE270D"/>
    <w:rsid w:val="00CE4761"/>
    <w:rsid w:val="00CF0D77"/>
    <w:rsid w:val="00CF188C"/>
    <w:rsid w:val="00CF32F7"/>
    <w:rsid w:val="00CF5CBB"/>
    <w:rsid w:val="00D00C24"/>
    <w:rsid w:val="00D00DC3"/>
    <w:rsid w:val="00D01ED2"/>
    <w:rsid w:val="00D03B8F"/>
    <w:rsid w:val="00D0544D"/>
    <w:rsid w:val="00D16942"/>
    <w:rsid w:val="00D16965"/>
    <w:rsid w:val="00D17966"/>
    <w:rsid w:val="00D21165"/>
    <w:rsid w:val="00D21749"/>
    <w:rsid w:val="00D21F95"/>
    <w:rsid w:val="00D277E8"/>
    <w:rsid w:val="00D33ABB"/>
    <w:rsid w:val="00D33FD8"/>
    <w:rsid w:val="00D34BD0"/>
    <w:rsid w:val="00D46191"/>
    <w:rsid w:val="00D50D2D"/>
    <w:rsid w:val="00D51409"/>
    <w:rsid w:val="00D5367A"/>
    <w:rsid w:val="00D53D45"/>
    <w:rsid w:val="00D54045"/>
    <w:rsid w:val="00D61BF2"/>
    <w:rsid w:val="00D63658"/>
    <w:rsid w:val="00D64E07"/>
    <w:rsid w:val="00D658DE"/>
    <w:rsid w:val="00D65D28"/>
    <w:rsid w:val="00D66D6D"/>
    <w:rsid w:val="00D735FB"/>
    <w:rsid w:val="00D77755"/>
    <w:rsid w:val="00D80650"/>
    <w:rsid w:val="00D80F84"/>
    <w:rsid w:val="00D8148E"/>
    <w:rsid w:val="00D846F8"/>
    <w:rsid w:val="00D8726B"/>
    <w:rsid w:val="00D92247"/>
    <w:rsid w:val="00D9294C"/>
    <w:rsid w:val="00D92AAE"/>
    <w:rsid w:val="00D9360A"/>
    <w:rsid w:val="00D93966"/>
    <w:rsid w:val="00D94F32"/>
    <w:rsid w:val="00D97D95"/>
    <w:rsid w:val="00DA1AC4"/>
    <w:rsid w:val="00DA1F79"/>
    <w:rsid w:val="00DA3766"/>
    <w:rsid w:val="00DA78F5"/>
    <w:rsid w:val="00DB249F"/>
    <w:rsid w:val="00DB6884"/>
    <w:rsid w:val="00DB78BB"/>
    <w:rsid w:val="00DC04FD"/>
    <w:rsid w:val="00DC0B79"/>
    <w:rsid w:val="00DC3F4D"/>
    <w:rsid w:val="00DC77EC"/>
    <w:rsid w:val="00DD020A"/>
    <w:rsid w:val="00DD032E"/>
    <w:rsid w:val="00DD054F"/>
    <w:rsid w:val="00DD0860"/>
    <w:rsid w:val="00DD222E"/>
    <w:rsid w:val="00DD2A5C"/>
    <w:rsid w:val="00DD3369"/>
    <w:rsid w:val="00DD5D23"/>
    <w:rsid w:val="00DD6B43"/>
    <w:rsid w:val="00DE08C2"/>
    <w:rsid w:val="00DE2D75"/>
    <w:rsid w:val="00DE3A32"/>
    <w:rsid w:val="00DE3B08"/>
    <w:rsid w:val="00DE3CE3"/>
    <w:rsid w:val="00DE4164"/>
    <w:rsid w:val="00DE4FC0"/>
    <w:rsid w:val="00DE6049"/>
    <w:rsid w:val="00DF450C"/>
    <w:rsid w:val="00DF45E2"/>
    <w:rsid w:val="00DF79A2"/>
    <w:rsid w:val="00E00915"/>
    <w:rsid w:val="00E0164D"/>
    <w:rsid w:val="00E0252E"/>
    <w:rsid w:val="00E02B80"/>
    <w:rsid w:val="00E0477E"/>
    <w:rsid w:val="00E04A4D"/>
    <w:rsid w:val="00E04BCC"/>
    <w:rsid w:val="00E052AF"/>
    <w:rsid w:val="00E05C46"/>
    <w:rsid w:val="00E05FD2"/>
    <w:rsid w:val="00E103DA"/>
    <w:rsid w:val="00E10D4F"/>
    <w:rsid w:val="00E119AA"/>
    <w:rsid w:val="00E11FA8"/>
    <w:rsid w:val="00E136F4"/>
    <w:rsid w:val="00E13AB7"/>
    <w:rsid w:val="00E140C8"/>
    <w:rsid w:val="00E15550"/>
    <w:rsid w:val="00E16A41"/>
    <w:rsid w:val="00E17CBF"/>
    <w:rsid w:val="00E21C5F"/>
    <w:rsid w:val="00E23D5C"/>
    <w:rsid w:val="00E26AFE"/>
    <w:rsid w:val="00E27472"/>
    <w:rsid w:val="00E31574"/>
    <w:rsid w:val="00E34A24"/>
    <w:rsid w:val="00E35BAC"/>
    <w:rsid w:val="00E41C53"/>
    <w:rsid w:val="00E45071"/>
    <w:rsid w:val="00E45442"/>
    <w:rsid w:val="00E45F26"/>
    <w:rsid w:val="00E4749E"/>
    <w:rsid w:val="00E50C49"/>
    <w:rsid w:val="00E54D77"/>
    <w:rsid w:val="00E577B4"/>
    <w:rsid w:val="00E657F3"/>
    <w:rsid w:val="00E7002A"/>
    <w:rsid w:val="00E70D66"/>
    <w:rsid w:val="00E74102"/>
    <w:rsid w:val="00E809C3"/>
    <w:rsid w:val="00E81A19"/>
    <w:rsid w:val="00E82463"/>
    <w:rsid w:val="00E84BCC"/>
    <w:rsid w:val="00E84C52"/>
    <w:rsid w:val="00E87953"/>
    <w:rsid w:val="00E92A68"/>
    <w:rsid w:val="00E93753"/>
    <w:rsid w:val="00E97BAF"/>
    <w:rsid w:val="00EA0E6D"/>
    <w:rsid w:val="00EA3746"/>
    <w:rsid w:val="00EA6758"/>
    <w:rsid w:val="00EA6CD9"/>
    <w:rsid w:val="00EB014B"/>
    <w:rsid w:val="00EB43B5"/>
    <w:rsid w:val="00EB6A4A"/>
    <w:rsid w:val="00EB70EF"/>
    <w:rsid w:val="00EB723B"/>
    <w:rsid w:val="00EC2BF5"/>
    <w:rsid w:val="00ED14AF"/>
    <w:rsid w:val="00ED177C"/>
    <w:rsid w:val="00ED187D"/>
    <w:rsid w:val="00ED1CAD"/>
    <w:rsid w:val="00ED5534"/>
    <w:rsid w:val="00ED6B69"/>
    <w:rsid w:val="00ED743B"/>
    <w:rsid w:val="00EE183D"/>
    <w:rsid w:val="00EE1A6C"/>
    <w:rsid w:val="00EE371F"/>
    <w:rsid w:val="00EE45FD"/>
    <w:rsid w:val="00EE5801"/>
    <w:rsid w:val="00EE5C8E"/>
    <w:rsid w:val="00EF0177"/>
    <w:rsid w:val="00EF1A77"/>
    <w:rsid w:val="00EF2662"/>
    <w:rsid w:val="00EF26A0"/>
    <w:rsid w:val="00EF3A50"/>
    <w:rsid w:val="00EF4B84"/>
    <w:rsid w:val="00EF5CB5"/>
    <w:rsid w:val="00EF5D1B"/>
    <w:rsid w:val="00EF6675"/>
    <w:rsid w:val="00F008C8"/>
    <w:rsid w:val="00F01BAC"/>
    <w:rsid w:val="00F030D7"/>
    <w:rsid w:val="00F031AE"/>
    <w:rsid w:val="00F06396"/>
    <w:rsid w:val="00F12C67"/>
    <w:rsid w:val="00F2347D"/>
    <w:rsid w:val="00F2447F"/>
    <w:rsid w:val="00F251AE"/>
    <w:rsid w:val="00F30D31"/>
    <w:rsid w:val="00F315CC"/>
    <w:rsid w:val="00F327AB"/>
    <w:rsid w:val="00F32973"/>
    <w:rsid w:val="00F34983"/>
    <w:rsid w:val="00F377AE"/>
    <w:rsid w:val="00F379E7"/>
    <w:rsid w:val="00F40BBF"/>
    <w:rsid w:val="00F446ED"/>
    <w:rsid w:val="00F44FF2"/>
    <w:rsid w:val="00F45ADB"/>
    <w:rsid w:val="00F45C31"/>
    <w:rsid w:val="00F45F31"/>
    <w:rsid w:val="00F50AA3"/>
    <w:rsid w:val="00F53B3E"/>
    <w:rsid w:val="00F54C4B"/>
    <w:rsid w:val="00F57E98"/>
    <w:rsid w:val="00F63286"/>
    <w:rsid w:val="00F65A25"/>
    <w:rsid w:val="00F6688A"/>
    <w:rsid w:val="00F701D5"/>
    <w:rsid w:val="00F708BE"/>
    <w:rsid w:val="00F719A0"/>
    <w:rsid w:val="00F71FCB"/>
    <w:rsid w:val="00F773FF"/>
    <w:rsid w:val="00F77A7D"/>
    <w:rsid w:val="00F77CD9"/>
    <w:rsid w:val="00F831BA"/>
    <w:rsid w:val="00F86DC4"/>
    <w:rsid w:val="00F911FE"/>
    <w:rsid w:val="00F91722"/>
    <w:rsid w:val="00F92080"/>
    <w:rsid w:val="00F922A4"/>
    <w:rsid w:val="00F92A7C"/>
    <w:rsid w:val="00F92F59"/>
    <w:rsid w:val="00F93785"/>
    <w:rsid w:val="00F94827"/>
    <w:rsid w:val="00F955AA"/>
    <w:rsid w:val="00F95917"/>
    <w:rsid w:val="00F95E58"/>
    <w:rsid w:val="00F97BC3"/>
    <w:rsid w:val="00F97E11"/>
    <w:rsid w:val="00FA31AF"/>
    <w:rsid w:val="00FA39AD"/>
    <w:rsid w:val="00FA4C7B"/>
    <w:rsid w:val="00FA6F5D"/>
    <w:rsid w:val="00FB2D7B"/>
    <w:rsid w:val="00FB3329"/>
    <w:rsid w:val="00FB4E1F"/>
    <w:rsid w:val="00FB61AD"/>
    <w:rsid w:val="00FC0B6B"/>
    <w:rsid w:val="00FC3735"/>
    <w:rsid w:val="00FC5FA0"/>
    <w:rsid w:val="00FD04E9"/>
    <w:rsid w:val="00FD1533"/>
    <w:rsid w:val="00FD5D0D"/>
    <w:rsid w:val="00FD6C5A"/>
    <w:rsid w:val="00FD70D6"/>
    <w:rsid w:val="00FE0B20"/>
    <w:rsid w:val="00FE1B8C"/>
    <w:rsid w:val="00FE3E0C"/>
    <w:rsid w:val="00FE4123"/>
    <w:rsid w:val="00FE4370"/>
    <w:rsid w:val="00FE5772"/>
    <w:rsid w:val="00FE5DEE"/>
    <w:rsid w:val="00FE6FCD"/>
    <w:rsid w:val="00FF0230"/>
    <w:rsid w:val="00FF4066"/>
    <w:rsid w:val="06C395CF"/>
    <w:rsid w:val="0773B269"/>
    <w:rsid w:val="0CABD6E6"/>
    <w:rsid w:val="0D964C67"/>
    <w:rsid w:val="117589DC"/>
    <w:rsid w:val="11BDB670"/>
    <w:rsid w:val="18B5A029"/>
    <w:rsid w:val="1D5C6D16"/>
    <w:rsid w:val="2221C8CC"/>
    <w:rsid w:val="24473C85"/>
    <w:rsid w:val="248F753C"/>
    <w:rsid w:val="2BD62243"/>
    <w:rsid w:val="2BDC3490"/>
    <w:rsid w:val="2C7BD6D8"/>
    <w:rsid w:val="40501000"/>
    <w:rsid w:val="4420F9CA"/>
    <w:rsid w:val="4B258091"/>
    <w:rsid w:val="52B832CB"/>
    <w:rsid w:val="55FC334F"/>
    <w:rsid w:val="5CDA91E1"/>
    <w:rsid w:val="6262B80C"/>
    <w:rsid w:val="63CB00FD"/>
    <w:rsid w:val="64C378EC"/>
    <w:rsid w:val="67E0CE91"/>
    <w:rsid w:val="6DDCE224"/>
    <w:rsid w:val="6F805A49"/>
    <w:rsid w:val="703A8242"/>
    <w:rsid w:val="72B9359B"/>
    <w:rsid w:val="79610C1E"/>
    <w:rsid w:val="796E0015"/>
    <w:rsid w:val="7AF3A5C0"/>
    <w:rsid w:val="7C74D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513DB4"/>
  <w15:chartTrackingRefBased/>
  <w15:docId w15:val="{21CB07E8-75E5-4D82-A8F8-84BE9C72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FC"/>
    <w:rPr>
      <w:rFonts w:eastAsiaTheme="majorEastAsia" w:cstheme="majorBidi"/>
      <w:color w:val="272727" w:themeColor="text1" w:themeTint="D8"/>
    </w:rPr>
  </w:style>
  <w:style w:type="paragraph" w:styleId="Title">
    <w:name w:val="Title"/>
    <w:basedOn w:val="Normal"/>
    <w:next w:val="Normal"/>
    <w:link w:val="TitleChar"/>
    <w:uiPriority w:val="10"/>
    <w:qFormat/>
    <w:rsid w:val="00757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FC"/>
    <w:pPr>
      <w:spacing w:before="160"/>
      <w:jc w:val="center"/>
    </w:pPr>
    <w:rPr>
      <w:i/>
      <w:iCs/>
      <w:color w:val="404040" w:themeColor="text1" w:themeTint="BF"/>
    </w:rPr>
  </w:style>
  <w:style w:type="character" w:customStyle="1" w:styleId="QuoteChar">
    <w:name w:val="Quote Char"/>
    <w:basedOn w:val="DefaultParagraphFont"/>
    <w:link w:val="Quote"/>
    <w:uiPriority w:val="29"/>
    <w:rsid w:val="007571FC"/>
    <w:rPr>
      <w:i/>
      <w:iCs/>
      <w:color w:val="404040" w:themeColor="text1" w:themeTint="BF"/>
    </w:rPr>
  </w:style>
  <w:style w:type="paragraph" w:styleId="ListParagraph">
    <w:name w:val="List Paragraph"/>
    <w:basedOn w:val="Normal"/>
    <w:uiPriority w:val="34"/>
    <w:qFormat/>
    <w:rsid w:val="007571FC"/>
    <w:pPr>
      <w:ind w:left="720"/>
      <w:contextualSpacing/>
    </w:pPr>
  </w:style>
  <w:style w:type="character" w:styleId="IntenseEmphasis">
    <w:name w:val="Intense Emphasis"/>
    <w:basedOn w:val="DefaultParagraphFont"/>
    <w:uiPriority w:val="21"/>
    <w:qFormat/>
    <w:rsid w:val="007571FC"/>
    <w:rPr>
      <w:i/>
      <w:iCs/>
      <w:color w:val="0F4761" w:themeColor="accent1" w:themeShade="BF"/>
    </w:rPr>
  </w:style>
  <w:style w:type="paragraph" w:styleId="IntenseQuote">
    <w:name w:val="Intense Quote"/>
    <w:basedOn w:val="Normal"/>
    <w:next w:val="Normal"/>
    <w:link w:val="IntenseQuoteChar"/>
    <w:uiPriority w:val="30"/>
    <w:qFormat/>
    <w:rsid w:val="00757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FC"/>
    <w:rPr>
      <w:i/>
      <w:iCs/>
      <w:color w:val="0F4761" w:themeColor="accent1" w:themeShade="BF"/>
    </w:rPr>
  </w:style>
  <w:style w:type="character" w:styleId="IntenseReference">
    <w:name w:val="Intense Reference"/>
    <w:basedOn w:val="DefaultParagraphFont"/>
    <w:uiPriority w:val="32"/>
    <w:qFormat/>
    <w:rsid w:val="007571FC"/>
    <w:rPr>
      <w:b/>
      <w:bCs/>
      <w:smallCaps/>
      <w:color w:val="0F4761" w:themeColor="accent1" w:themeShade="BF"/>
      <w:spacing w:val="5"/>
    </w:rPr>
  </w:style>
  <w:style w:type="table" w:styleId="TableGrid">
    <w:name w:val="Table Grid"/>
    <w:basedOn w:val="TableNormal"/>
    <w:uiPriority w:val="39"/>
    <w:rsid w:val="004F1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4D81"/>
    <w:rPr>
      <w:color w:val="467886"/>
      <w:u w:val="single"/>
    </w:rPr>
  </w:style>
  <w:style w:type="character" w:styleId="UnresolvedMention">
    <w:name w:val="Unresolved Mention"/>
    <w:basedOn w:val="DefaultParagraphFont"/>
    <w:uiPriority w:val="99"/>
    <w:semiHidden/>
    <w:unhideWhenUsed/>
    <w:rsid w:val="008C7C28"/>
    <w:rPr>
      <w:color w:val="605E5C"/>
      <w:shd w:val="clear" w:color="auto" w:fill="E1DFDD"/>
    </w:rPr>
  </w:style>
  <w:style w:type="character" w:styleId="FollowedHyperlink">
    <w:name w:val="FollowedHyperlink"/>
    <w:basedOn w:val="DefaultParagraphFont"/>
    <w:uiPriority w:val="99"/>
    <w:semiHidden/>
    <w:unhideWhenUsed/>
    <w:rsid w:val="00ED187D"/>
    <w:rPr>
      <w:color w:val="96607D" w:themeColor="followedHyperlink"/>
      <w:u w:val="single"/>
    </w:rPr>
  </w:style>
  <w:style w:type="character" w:styleId="CommentReference">
    <w:name w:val="annotation reference"/>
    <w:basedOn w:val="DefaultParagraphFont"/>
    <w:uiPriority w:val="99"/>
    <w:semiHidden/>
    <w:unhideWhenUsed/>
    <w:rsid w:val="00AC1C95"/>
    <w:rPr>
      <w:sz w:val="16"/>
      <w:szCs w:val="16"/>
    </w:rPr>
  </w:style>
  <w:style w:type="paragraph" w:styleId="CommentText">
    <w:name w:val="annotation text"/>
    <w:basedOn w:val="Normal"/>
    <w:link w:val="CommentTextChar"/>
    <w:uiPriority w:val="99"/>
    <w:unhideWhenUsed/>
    <w:rsid w:val="00AC1C95"/>
    <w:pPr>
      <w:spacing w:line="240" w:lineRule="auto"/>
    </w:pPr>
    <w:rPr>
      <w:sz w:val="20"/>
      <w:szCs w:val="20"/>
    </w:rPr>
  </w:style>
  <w:style w:type="character" w:customStyle="1" w:styleId="CommentTextChar">
    <w:name w:val="Comment Text Char"/>
    <w:basedOn w:val="DefaultParagraphFont"/>
    <w:link w:val="CommentText"/>
    <w:uiPriority w:val="99"/>
    <w:rsid w:val="00AC1C95"/>
    <w:rPr>
      <w:sz w:val="20"/>
      <w:szCs w:val="20"/>
    </w:rPr>
  </w:style>
  <w:style w:type="paragraph" w:styleId="CommentSubject">
    <w:name w:val="annotation subject"/>
    <w:basedOn w:val="CommentText"/>
    <w:next w:val="CommentText"/>
    <w:link w:val="CommentSubjectChar"/>
    <w:uiPriority w:val="99"/>
    <w:semiHidden/>
    <w:unhideWhenUsed/>
    <w:rsid w:val="00AC1C95"/>
    <w:rPr>
      <w:b/>
      <w:bCs/>
    </w:rPr>
  </w:style>
  <w:style w:type="character" w:customStyle="1" w:styleId="CommentSubjectChar">
    <w:name w:val="Comment Subject Char"/>
    <w:basedOn w:val="CommentTextChar"/>
    <w:link w:val="CommentSubject"/>
    <w:uiPriority w:val="99"/>
    <w:semiHidden/>
    <w:rsid w:val="00AC1C95"/>
    <w:rPr>
      <w:b/>
      <w:bCs/>
      <w:sz w:val="20"/>
      <w:szCs w:val="20"/>
    </w:rPr>
  </w:style>
  <w:style w:type="character" w:styleId="Mention">
    <w:name w:val="Mention"/>
    <w:basedOn w:val="DefaultParagraphFont"/>
    <w:uiPriority w:val="99"/>
    <w:unhideWhenUsed/>
    <w:rsid w:val="00AC1C95"/>
    <w:rPr>
      <w:color w:val="2B579A"/>
      <w:shd w:val="clear" w:color="auto" w:fill="E1DFDD"/>
    </w:rPr>
  </w:style>
  <w:style w:type="paragraph" w:customStyle="1" w:styleId="paragraph">
    <w:name w:val="paragraph"/>
    <w:basedOn w:val="Normal"/>
    <w:rsid w:val="006327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632746"/>
  </w:style>
  <w:style w:type="character" w:customStyle="1" w:styleId="eop">
    <w:name w:val="eop"/>
    <w:basedOn w:val="DefaultParagraphFont"/>
    <w:rsid w:val="00632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4495">
      <w:bodyDiv w:val="1"/>
      <w:marLeft w:val="0"/>
      <w:marRight w:val="0"/>
      <w:marTop w:val="0"/>
      <w:marBottom w:val="0"/>
      <w:divBdr>
        <w:top w:val="none" w:sz="0" w:space="0" w:color="auto"/>
        <w:left w:val="none" w:sz="0" w:space="0" w:color="auto"/>
        <w:bottom w:val="none" w:sz="0" w:space="0" w:color="auto"/>
        <w:right w:val="none" w:sz="0" w:space="0" w:color="auto"/>
      </w:divBdr>
    </w:div>
    <w:div w:id="111629203">
      <w:bodyDiv w:val="1"/>
      <w:marLeft w:val="0"/>
      <w:marRight w:val="0"/>
      <w:marTop w:val="0"/>
      <w:marBottom w:val="0"/>
      <w:divBdr>
        <w:top w:val="none" w:sz="0" w:space="0" w:color="auto"/>
        <w:left w:val="none" w:sz="0" w:space="0" w:color="auto"/>
        <w:bottom w:val="none" w:sz="0" w:space="0" w:color="auto"/>
        <w:right w:val="none" w:sz="0" w:space="0" w:color="auto"/>
      </w:divBdr>
    </w:div>
    <w:div w:id="184222197">
      <w:bodyDiv w:val="1"/>
      <w:marLeft w:val="0"/>
      <w:marRight w:val="0"/>
      <w:marTop w:val="0"/>
      <w:marBottom w:val="0"/>
      <w:divBdr>
        <w:top w:val="none" w:sz="0" w:space="0" w:color="auto"/>
        <w:left w:val="none" w:sz="0" w:space="0" w:color="auto"/>
        <w:bottom w:val="none" w:sz="0" w:space="0" w:color="auto"/>
        <w:right w:val="none" w:sz="0" w:space="0" w:color="auto"/>
      </w:divBdr>
    </w:div>
    <w:div w:id="256596012">
      <w:bodyDiv w:val="1"/>
      <w:marLeft w:val="0"/>
      <w:marRight w:val="0"/>
      <w:marTop w:val="0"/>
      <w:marBottom w:val="0"/>
      <w:divBdr>
        <w:top w:val="none" w:sz="0" w:space="0" w:color="auto"/>
        <w:left w:val="none" w:sz="0" w:space="0" w:color="auto"/>
        <w:bottom w:val="none" w:sz="0" w:space="0" w:color="auto"/>
        <w:right w:val="none" w:sz="0" w:space="0" w:color="auto"/>
      </w:divBdr>
    </w:div>
    <w:div w:id="393356622">
      <w:bodyDiv w:val="1"/>
      <w:marLeft w:val="0"/>
      <w:marRight w:val="0"/>
      <w:marTop w:val="0"/>
      <w:marBottom w:val="0"/>
      <w:divBdr>
        <w:top w:val="none" w:sz="0" w:space="0" w:color="auto"/>
        <w:left w:val="none" w:sz="0" w:space="0" w:color="auto"/>
        <w:bottom w:val="none" w:sz="0" w:space="0" w:color="auto"/>
        <w:right w:val="none" w:sz="0" w:space="0" w:color="auto"/>
      </w:divBdr>
    </w:div>
    <w:div w:id="550457986">
      <w:bodyDiv w:val="1"/>
      <w:marLeft w:val="0"/>
      <w:marRight w:val="0"/>
      <w:marTop w:val="0"/>
      <w:marBottom w:val="0"/>
      <w:divBdr>
        <w:top w:val="none" w:sz="0" w:space="0" w:color="auto"/>
        <w:left w:val="none" w:sz="0" w:space="0" w:color="auto"/>
        <w:bottom w:val="none" w:sz="0" w:space="0" w:color="auto"/>
        <w:right w:val="none" w:sz="0" w:space="0" w:color="auto"/>
      </w:divBdr>
    </w:div>
    <w:div w:id="700127891">
      <w:bodyDiv w:val="1"/>
      <w:marLeft w:val="0"/>
      <w:marRight w:val="0"/>
      <w:marTop w:val="0"/>
      <w:marBottom w:val="0"/>
      <w:divBdr>
        <w:top w:val="none" w:sz="0" w:space="0" w:color="auto"/>
        <w:left w:val="none" w:sz="0" w:space="0" w:color="auto"/>
        <w:bottom w:val="none" w:sz="0" w:space="0" w:color="auto"/>
        <w:right w:val="none" w:sz="0" w:space="0" w:color="auto"/>
      </w:divBdr>
    </w:div>
    <w:div w:id="841044136">
      <w:bodyDiv w:val="1"/>
      <w:marLeft w:val="0"/>
      <w:marRight w:val="0"/>
      <w:marTop w:val="0"/>
      <w:marBottom w:val="0"/>
      <w:divBdr>
        <w:top w:val="none" w:sz="0" w:space="0" w:color="auto"/>
        <w:left w:val="none" w:sz="0" w:space="0" w:color="auto"/>
        <w:bottom w:val="none" w:sz="0" w:space="0" w:color="auto"/>
        <w:right w:val="none" w:sz="0" w:space="0" w:color="auto"/>
      </w:divBdr>
    </w:div>
    <w:div w:id="895507026">
      <w:bodyDiv w:val="1"/>
      <w:marLeft w:val="0"/>
      <w:marRight w:val="0"/>
      <w:marTop w:val="0"/>
      <w:marBottom w:val="0"/>
      <w:divBdr>
        <w:top w:val="none" w:sz="0" w:space="0" w:color="auto"/>
        <w:left w:val="none" w:sz="0" w:space="0" w:color="auto"/>
        <w:bottom w:val="none" w:sz="0" w:space="0" w:color="auto"/>
        <w:right w:val="none" w:sz="0" w:space="0" w:color="auto"/>
      </w:divBdr>
    </w:div>
    <w:div w:id="1004094407">
      <w:bodyDiv w:val="1"/>
      <w:marLeft w:val="0"/>
      <w:marRight w:val="0"/>
      <w:marTop w:val="0"/>
      <w:marBottom w:val="0"/>
      <w:divBdr>
        <w:top w:val="none" w:sz="0" w:space="0" w:color="auto"/>
        <w:left w:val="none" w:sz="0" w:space="0" w:color="auto"/>
        <w:bottom w:val="none" w:sz="0" w:space="0" w:color="auto"/>
        <w:right w:val="none" w:sz="0" w:space="0" w:color="auto"/>
      </w:divBdr>
    </w:div>
    <w:div w:id="1090350932">
      <w:bodyDiv w:val="1"/>
      <w:marLeft w:val="0"/>
      <w:marRight w:val="0"/>
      <w:marTop w:val="0"/>
      <w:marBottom w:val="0"/>
      <w:divBdr>
        <w:top w:val="none" w:sz="0" w:space="0" w:color="auto"/>
        <w:left w:val="none" w:sz="0" w:space="0" w:color="auto"/>
        <w:bottom w:val="none" w:sz="0" w:space="0" w:color="auto"/>
        <w:right w:val="none" w:sz="0" w:space="0" w:color="auto"/>
      </w:divBdr>
    </w:div>
    <w:div w:id="1186213342">
      <w:bodyDiv w:val="1"/>
      <w:marLeft w:val="0"/>
      <w:marRight w:val="0"/>
      <w:marTop w:val="0"/>
      <w:marBottom w:val="0"/>
      <w:divBdr>
        <w:top w:val="none" w:sz="0" w:space="0" w:color="auto"/>
        <w:left w:val="none" w:sz="0" w:space="0" w:color="auto"/>
        <w:bottom w:val="none" w:sz="0" w:space="0" w:color="auto"/>
        <w:right w:val="none" w:sz="0" w:space="0" w:color="auto"/>
      </w:divBdr>
    </w:div>
    <w:div w:id="1625193506">
      <w:bodyDiv w:val="1"/>
      <w:marLeft w:val="0"/>
      <w:marRight w:val="0"/>
      <w:marTop w:val="0"/>
      <w:marBottom w:val="0"/>
      <w:divBdr>
        <w:top w:val="none" w:sz="0" w:space="0" w:color="auto"/>
        <w:left w:val="none" w:sz="0" w:space="0" w:color="auto"/>
        <w:bottom w:val="none" w:sz="0" w:space="0" w:color="auto"/>
        <w:right w:val="none" w:sz="0" w:space="0" w:color="auto"/>
      </w:divBdr>
    </w:div>
    <w:div w:id="1759013399">
      <w:bodyDiv w:val="1"/>
      <w:marLeft w:val="0"/>
      <w:marRight w:val="0"/>
      <w:marTop w:val="0"/>
      <w:marBottom w:val="0"/>
      <w:divBdr>
        <w:top w:val="none" w:sz="0" w:space="0" w:color="auto"/>
        <w:left w:val="none" w:sz="0" w:space="0" w:color="auto"/>
        <w:bottom w:val="none" w:sz="0" w:space="0" w:color="auto"/>
        <w:right w:val="none" w:sz="0" w:space="0" w:color="auto"/>
      </w:divBdr>
    </w:div>
    <w:div w:id="1778912336">
      <w:bodyDiv w:val="1"/>
      <w:marLeft w:val="0"/>
      <w:marRight w:val="0"/>
      <w:marTop w:val="0"/>
      <w:marBottom w:val="0"/>
      <w:divBdr>
        <w:top w:val="none" w:sz="0" w:space="0" w:color="auto"/>
        <w:left w:val="none" w:sz="0" w:space="0" w:color="auto"/>
        <w:bottom w:val="none" w:sz="0" w:space="0" w:color="auto"/>
        <w:right w:val="none" w:sz="0" w:space="0" w:color="auto"/>
      </w:divBdr>
    </w:div>
    <w:div w:id="209820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clinicaltrials.gov/study/NCT0663582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clinicaltrials.gov/study/NCT06712316" TargetMode="External"/><Relationship Id="rId17" Type="http://schemas.openxmlformats.org/officeDocument/2006/relationships/hyperlink" Target="https://clinicaltrials.gov/study/NCT05117242" TargetMode="External"/><Relationship Id="rId2" Type="http://schemas.openxmlformats.org/officeDocument/2006/relationships/customXml" Target="../customXml/item2.xml"/><Relationship Id="rId16" Type="http://schemas.openxmlformats.org/officeDocument/2006/relationships/hyperlink" Target="https://ml-eu.globenewswire.com/Resource/Download/58d27e40-b088-4c72-b5e8-2b7361d8a00f" TargetMode="External"/><Relationship Id="rId20" Type="http://schemas.openxmlformats.org/officeDocument/2006/relationships/hyperlink" Target="https://clinicaltrials.gov/study/NCT0557936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vestors.biontech.de/system/files-encrypted/nasdaq_kms/assets/2025/05/05/7-44-05/BNTX%20Q1%202025%20Presentation.pdf" TargetMode="External"/><Relationship Id="rId5" Type="http://schemas.openxmlformats.org/officeDocument/2006/relationships/styles" Target="styles.xml"/><Relationship Id="rId15" Type="http://schemas.openxmlformats.org/officeDocument/2006/relationships/hyperlink" Target="https://ir.genmab.com/static-files/4eb667d6-6c47-4e11-ab4a-72c83cf8fd79" TargetMode="External"/><Relationship Id="rId10" Type="http://schemas.openxmlformats.org/officeDocument/2006/relationships/hyperlink" Target="https://investors.biontech.de/node/17171/pdf" TargetMode="External"/><Relationship Id="rId19" Type="http://schemas.openxmlformats.org/officeDocument/2006/relationships/hyperlink" Target="https://ir.genmab.com/news-releases/news-release-details/genmab-takes-full-control-acasunlimab-development-progra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CE8BC269E49047AC4189033AAA57A3" ma:contentTypeVersion="20" ma:contentTypeDescription="Create a new document." ma:contentTypeScope="" ma:versionID="8896ff2df6b79f88ae63dd2203c082d0">
  <xsd:schema xmlns:xsd="http://www.w3.org/2001/XMLSchema" xmlns:xs="http://www.w3.org/2001/XMLSchema" xmlns:p="http://schemas.microsoft.com/office/2006/metadata/properties" xmlns:ns2="39fedafa-5d4b-4b53-a4b0-09c22e24986c" xmlns:ns3="c181a9bc-3009-49f3-87b5-3c5d59e5a8cd" targetNamespace="http://schemas.microsoft.com/office/2006/metadata/properties" ma:root="true" ma:fieldsID="533f370c77e2c27d677819900e503027" ns2:_="" ns3:_="">
    <xsd:import namespace="39fedafa-5d4b-4b53-a4b0-09c22e24986c"/>
    <xsd:import namespace="c181a9bc-3009-49f3-87b5-3c5d59e5a8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ObjectDetectorVersions" minOccurs="0"/>
                <xsd:element ref="ns3:MediaServiceLocation" minOccurs="0"/>
                <xsd:element ref="ns3:MediaServiceSearchProperties" minOccurs="0"/>
                <xsd:element ref="ns3:MediaLengthInSeconds" minOccurs="0"/>
                <xsd:element ref="ns3:DateModified" minOccurs="0"/>
                <xsd:element ref="ns3:Date_x0020_Modified_x002a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edafa-5d4b-4b53-a4b0-09c22e24986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95269c-23ee-441e-a3b4-e4815b8dd5f8}" ma:internalName="TaxCatchAll" ma:showField="CatchAllData" ma:web="39fedafa-5d4b-4b53-a4b0-09c22e24986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81a9bc-3009-49f3-87b5-3c5d59e5a8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DateModified" ma:index="25" nillable="true" ma:displayName="Date Modified" ma:format="DateOnly" ma:internalName="DateModified">
      <xsd:simpleType>
        <xsd:restriction base="dms:DateTime"/>
      </xsd:simpleType>
    </xsd:element>
    <xsd:element name="Date_x0020_Modified_x002a_" ma:index="26" nillable="true" ma:displayName="Date Modified*" ma:format="DateOnly" ma:internalName="Date_x0020_Modified_x002a_">
      <xsd:simpleType>
        <xsd:restriction base="dms:DateTim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_x0020_Modified_x002a_ xmlns="c181a9bc-3009-49f3-87b5-3c5d59e5a8cd" xsi:nil="true"/>
    <DateModified xmlns="c181a9bc-3009-49f3-87b5-3c5d59e5a8cd" xsi:nil="true"/>
    <lcf76f155ced4ddcb4097134ff3c332f xmlns="c181a9bc-3009-49f3-87b5-3c5d59e5a8cd">
      <Terms xmlns="http://schemas.microsoft.com/office/infopath/2007/PartnerControls"/>
    </lcf76f155ced4ddcb4097134ff3c332f>
    <TaxCatchAll xmlns="39fedafa-5d4b-4b53-a4b0-09c22e24986c" xsi:nil="true"/>
  </documentManagement>
</p:properties>
</file>

<file path=customXml/itemProps1.xml><?xml version="1.0" encoding="utf-8"?>
<ds:datastoreItem xmlns:ds="http://schemas.openxmlformats.org/officeDocument/2006/customXml" ds:itemID="{FEAF1904-4E50-45AE-B5C6-CE90DFB1FC4E}">
  <ds:schemaRefs>
    <ds:schemaRef ds:uri="http://schemas.microsoft.com/sharepoint/v3/contenttype/forms"/>
  </ds:schemaRefs>
</ds:datastoreItem>
</file>

<file path=customXml/itemProps2.xml><?xml version="1.0" encoding="utf-8"?>
<ds:datastoreItem xmlns:ds="http://schemas.openxmlformats.org/officeDocument/2006/customXml" ds:itemID="{3A4FE192-C6BE-49D8-B446-C7845F87C4A0}"/>
</file>

<file path=customXml/itemProps3.xml><?xml version="1.0" encoding="utf-8"?>
<ds:datastoreItem xmlns:ds="http://schemas.openxmlformats.org/officeDocument/2006/customXml" ds:itemID="{5929A9F9-636F-487F-8123-4D0C59E655A3}">
  <ds:schemaRefs>
    <ds:schemaRef ds:uri="http://purl.org/dc/terms/"/>
    <ds:schemaRef ds:uri="http://schemas.microsoft.com/office/2006/documentManagement/types"/>
    <ds:schemaRef ds:uri="7104cb0c-1319-4207-a9b8-e706b9e41b82"/>
    <ds:schemaRef ds:uri="4354fadf-993e-4185-b1da-ba2eaec282af"/>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Links>
    <vt:vector size="204" baseType="variant">
      <vt:variant>
        <vt:i4>1441843</vt:i4>
      </vt:variant>
      <vt:variant>
        <vt:i4>99</vt:i4>
      </vt:variant>
      <vt:variant>
        <vt:i4>0</vt:i4>
      </vt:variant>
      <vt:variant>
        <vt:i4>5</vt:i4>
      </vt:variant>
      <vt:variant>
        <vt:lpwstr>https://s28.q4cdn.com/781576035/files/doc_financials/2025/q1/Q1-2025-Earnings-Charts-FINAL.pdf</vt:lpwstr>
      </vt:variant>
      <vt:variant>
        <vt:lpwstr/>
      </vt:variant>
      <vt:variant>
        <vt:i4>5505026</vt:i4>
      </vt:variant>
      <vt:variant>
        <vt:i4>96</vt:i4>
      </vt:variant>
      <vt:variant>
        <vt:i4>0</vt:i4>
      </vt:variant>
      <vt:variant>
        <vt:i4>5</vt:i4>
      </vt:variant>
      <vt:variant>
        <vt:lpwstr>https://www.clinicaltrials.gov/study/NCT04626635</vt:lpwstr>
      </vt:variant>
      <vt:variant>
        <vt:lpwstr/>
      </vt:variant>
      <vt:variant>
        <vt:i4>851973</vt:i4>
      </vt:variant>
      <vt:variant>
        <vt:i4>93</vt:i4>
      </vt:variant>
      <vt:variant>
        <vt:i4>0</vt:i4>
      </vt:variant>
      <vt:variant>
        <vt:i4>5</vt:i4>
      </vt:variant>
      <vt:variant>
        <vt:lpwstr>https://clinicaltrials.gov/study/NCT06161441</vt:lpwstr>
      </vt:variant>
      <vt:variant>
        <vt:lpwstr/>
      </vt:variant>
      <vt:variant>
        <vt:i4>524296</vt:i4>
      </vt:variant>
      <vt:variant>
        <vt:i4>90</vt:i4>
      </vt:variant>
      <vt:variant>
        <vt:i4>0</vt:i4>
      </vt:variant>
      <vt:variant>
        <vt:i4>5</vt:i4>
      </vt:variant>
      <vt:variant>
        <vt:lpwstr>https://clinicaltrials.gov/study/NCT05800015</vt:lpwstr>
      </vt:variant>
      <vt:variant>
        <vt:lpwstr/>
      </vt:variant>
      <vt:variant>
        <vt:i4>327685</vt:i4>
      </vt:variant>
      <vt:variant>
        <vt:i4>87</vt:i4>
      </vt:variant>
      <vt:variant>
        <vt:i4>0</vt:i4>
      </vt:variant>
      <vt:variant>
        <vt:i4>5</vt:i4>
      </vt:variant>
      <vt:variant>
        <vt:lpwstr>https://clinicaltrials.gov/study/NCT05785767</vt:lpwstr>
      </vt:variant>
      <vt:variant>
        <vt:lpwstr/>
      </vt:variant>
      <vt:variant>
        <vt:i4>5767246</vt:i4>
      </vt:variant>
      <vt:variant>
        <vt:i4>84</vt:i4>
      </vt:variant>
      <vt:variant>
        <vt:i4>0</vt:i4>
      </vt:variant>
      <vt:variant>
        <vt:i4>5</vt:i4>
      </vt:variant>
      <vt:variant>
        <vt:lpwstr>https://investor.regeneron.com/static-files/e9c6524e-faa8-43a9-be14-52f6b9b56db2</vt:lpwstr>
      </vt:variant>
      <vt:variant>
        <vt:lpwstr/>
      </vt:variant>
      <vt:variant>
        <vt:i4>5373955</vt:i4>
      </vt:variant>
      <vt:variant>
        <vt:i4>81</vt:i4>
      </vt:variant>
      <vt:variant>
        <vt:i4>0</vt:i4>
      </vt:variant>
      <vt:variant>
        <vt:i4>5</vt:i4>
      </vt:variant>
      <vt:variant>
        <vt:lpwstr>https://www.clinicaltrials.gov/study/NCT04475939</vt:lpwstr>
      </vt:variant>
      <vt:variant>
        <vt:lpwstr/>
      </vt:variant>
      <vt:variant>
        <vt:i4>393221</vt:i4>
      </vt:variant>
      <vt:variant>
        <vt:i4>78</vt:i4>
      </vt:variant>
      <vt:variant>
        <vt:i4>0</vt:i4>
      </vt:variant>
      <vt:variant>
        <vt:i4>5</vt:i4>
      </vt:variant>
      <vt:variant>
        <vt:lpwstr>https://clinicaltrials.gov/study/NCT04655976</vt:lpwstr>
      </vt:variant>
      <vt:variant>
        <vt:lpwstr/>
      </vt:variant>
      <vt:variant>
        <vt:i4>6684768</vt:i4>
      </vt:variant>
      <vt:variant>
        <vt:i4>75</vt:i4>
      </vt:variant>
      <vt:variant>
        <vt:i4>0</vt:i4>
      </vt:variant>
      <vt:variant>
        <vt:i4>5</vt:i4>
      </vt:variant>
      <vt:variant>
        <vt:lpwstr>https://www.gsk.com/media/11960/q1-2025-results-slides.pdf</vt:lpwstr>
      </vt:variant>
      <vt:variant>
        <vt:lpwstr/>
      </vt:variant>
      <vt:variant>
        <vt:i4>5505029</vt:i4>
      </vt:variant>
      <vt:variant>
        <vt:i4>72</vt:i4>
      </vt:variant>
      <vt:variant>
        <vt:i4>0</vt:i4>
      </vt:variant>
      <vt:variant>
        <vt:i4>5</vt:i4>
      </vt:variant>
      <vt:variant>
        <vt:lpwstr>https://www.clinicaltrials.gov/study/NCT03456063</vt:lpwstr>
      </vt:variant>
      <vt:variant>
        <vt:lpwstr/>
      </vt:variant>
      <vt:variant>
        <vt:i4>65541</vt:i4>
      </vt:variant>
      <vt:variant>
        <vt:i4>69</vt:i4>
      </vt:variant>
      <vt:variant>
        <vt:i4>0</vt:i4>
      </vt:variant>
      <vt:variant>
        <vt:i4>5</vt:i4>
      </vt:variant>
      <vt:variant>
        <vt:lpwstr>https://clinicaltrials.gov/study/NCT04513925</vt:lpwstr>
      </vt:variant>
      <vt:variant>
        <vt:lpwstr/>
      </vt:variant>
      <vt:variant>
        <vt:i4>5439509</vt:i4>
      </vt:variant>
      <vt:variant>
        <vt:i4>66</vt:i4>
      </vt:variant>
      <vt:variant>
        <vt:i4>0</vt:i4>
      </vt:variant>
      <vt:variant>
        <vt:i4>5</vt:i4>
      </vt:variant>
      <vt:variant>
        <vt:lpwstr>https://assets.roche.com/f/176343/x/0cd9054dc9/irp250424.pdf</vt:lpwstr>
      </vt:variant>
      <vt:variant>
        <vt:lpwstr/>
      </vt:variant>
      <vt:variant>
        <vt:i4>7536763</vt:i4>
      </vt:variant>
      <vt:variant>
        <vt:i4>63</vt:i4>
      </vt:variant>
      <vt:variant>
        <vt:i4>0</vt:i4>
      </vt:variant>
      <vt:variant>
        <vt:i4>5</vt:i4>
      </vt:variant>
      <vt:variant>
        <vt:lpwstr>https://www.fda.gov/drugs/resources-information-approved-drugs/fda-approves-neoadjuvantadjuvant-nivolumab-resectable-non-small-cell-lung-cancer</vt:lpwstr>
      </vt:variant>
      <vt:variant>
        <vt:lpwstr/>
      </vt:variant>
      <vt:variant>
        <vt:i4>983043</vt:i4>
      </vt:variant>
      <vt:variant>
        <vt:i4>60</vt:i4>
      </vt:variant>
      <vt:variant>
        <vt:i4>0</vt:i4>
      </vt:variant>
      <vt:variant>
        <vt:i4>5</vt:i4>
      </vt:variant>
      <vt:variant>
        <vt:lpwstr>https://clinicaltrials.gov/study/NCT04025879</vt:lpwstr>
      </vt:variant>
      <vt:variant>
        <vt:lpwstr/>
      </vt:variant>
      <vt:variant>
        <vt:i4>6946928</vt:i4>
      </vt:variant>
      <vt:variant>
        <vt:i4>57</vt:i4>
      </vt:variant>
      <vt:variant>
        <vt:i4>0</vt:i4>
      </vt:variant>
      <vt:variant>
        <vt:i4>5</vt:i4>
      </vt:variant>
      <vt:variant>
        <vt:lpwstr>https://news.bms.com/news/corporate-financial/2025/Bristol-Myers-Squibb-Receives-Positive-CHMP-Opinion-for-Perioperative-Regimen-of-Neoadjuvant-Opdivo-nivolumab-and-Chemotherapy-Followed-by-Surgery-and-Adjuvant-Opdivo-for-Resectable-Non-Small-Cell-Lung-Cancer-in-Patients-with-Tumor-Cell-PD-L1---/default.aspx</vt:lpwstr>
      </vt:variant>
      <vt:variant>
        <vt:lpwstr/>
      </vt:variant>
      <vt:variant>
        <vt:i4>6029402</vt:i4>
      </vt:variant>
      <vt:variant>
        <vt:i4>54</vt:i4>
      </vt:variant>
      <vt:variant>
        <vt:i4>0</vt:i4>
      </vt:variant>
      <vt:variant>
        <vt:i4>5</vt:i4>
      </vt:variant>
      <vt:variant>
        <vt:lpwstr>https://news.bms.com/news/details/2023/SystImmune-and-Bristol-Myers-Squibb-Announce-a-Global-Strategic-Collaboration-Agreement-for-the-Development-and-Commercialization-of-BL-B01D1/default.aspx</vt:lpwstr>
      </vt:variant>
      <vt:variant>
        <vt:lpwstr/>
      </vt:variant>
      <vt:variant>
        <vt:i4>655367</vt:i4>
      </vt:variant>
      <vt:variant>
        <vt:i4>51</vt:i4>
      </vt:variant>
      <vt:variant>
        <vt:i4>0</vt:i4>
      </vt:variant>
      <vt:variant>
        <vt:i4>5</vt:i4>
      </vt:variant>
      <vt:variant>
        <vt:lpwstr>https://clinicaltrials.gov/study/NCT06618287</vt:lpwstr>
      </vt:variant>
      <vt:variant>
        <vt:lpwstr/>
      </vt:variant>
      <vt:variant>
        <vt:i4>196616</vt:i4>
      </vt:variant>
      <vt:variant>
        <vt:i4>48</vt:i4>
      </vt:variant>
      <vt:variant>
        <vt:i4>0</vt:i4>
      </vt:variant>
      <vt:variant>
        <vt:i4>5</vt:i4>
      </vt:variant>
      <vt:variant>
        <vt:lpwstr>https://clinicaltrials.gov/study/NCT05983432</vt:lpwstr>
      </vt:variant>
      <vt:variant>
        <vt:lpwstr/>
      </vt:variant>
      <vt:variant>
        <vt:i4>2818131</vt:i4>
      </vt:variant>
      <vt:variant>
        <vt:i4>45</vt:i4>
      </vt:variant>
      <vt:variant>
        <vt:i4>0</vt:i4>
      </vt:variant>
      <vt:variant>
        <vt:i4>5</vt:i4>
      </vt:variant>
      <vt:variant>
        <vt:lpwstr>https://www.bms.com/assets/bms/us/en-us/pdf/investor-info/doc_presentations/2025/BMY-2025-Q1-Results-Investor-Presentation-with-Appendix.pdf</vt:lpwstr>
      </vt:variant>
      <vt:variant>
        <vt:lpwstr/>
      </vt:variant>
      <vt:variant>
        <vt:i4>1900559</vt:i4>
      </vt:variant>
      <vt:variant>
        <vt:i4>42</vt:i4>
      </vt:variant>
      <vt:variant>
        <vt:i4>0</vt:i4>
      </vt:variant>
      <vt:variant>
        <vt:i4>5</vt:i4>
      </vt:variant>
      <vt:variant>
        <vt:lpwstr>https://clinicaltrials.gov/study/NCT06667076?id=NCT06667076&amp;rank=1</vt:lpwstr>
      </vt:variant>
      <vt:variant>
        <vt:lpwstr>study-plan</vt:lpwstr>
      </vt:variant>
      <vt:variant>
        <vt:i4>7274598</vt:i4>
      </vt:variant>
      <vt:variant>
        <vt:i4>39</vt:i4>
      </vt:variant>
      <vt:variant>
        <vt:i4>0</vt:i4>
      </vt:variant>
      <vt:variant>
        <vt:i4>5</vt:i4>
      </vt:variant>
      <vt:variant>
        <vt:lpwstr>https://www.jnj.com/media-center/press-releases/update-on-u-s-regulatory-review-of-subcutaneous-amivantamab</vt:lpwstr>
      </vt:variant>
      <vt:variant>
        <vt:lpwstr/>
      </vt:variant>
      <vt:variant>
        <vt:i4>5308466</vt:i4>
      </vt:variant>
      <vt:variant>
        <vt:i4>36</vt:i4>
      </vt:variant>
      <vt:variant>
        <vt:i4>0</vt:i4>
      </vt:variant>
      <vt:variant>
        <vt:i4>5</vt:i4>
      </vt:variant>
      <vt:variant>
        <vt:lpwstr>https://s203.q4cdn.com/636242992/files/doc_financials/2025/q1/Final-JNJ-Earnings-Presentation-Q1-2025-Webcast.pdf</vt:lpwstr>
      </vt:variant>
      <vt:variant>
        <vt:lpwstr/>
      </vt:variant>
      <vt:variant>
        <vt:i4>5374015</vt:i4>
      </vt:variant>
      <vt:variant>
        <vt:i4>33</vt:i4>
      </vt:variant>
      <vt:variant>
        <vt:i4>0</vt:i4>
      </vt:variant>
      <vt:variant>
        <vt:i4>5</vt:i4>
      </vt:variant>
      <vt:variant>
        <vt:lpwstr>https://www.daiichisankyo.com/files/investors/library/quarterly_result/2024/4Q/FY2024Q4_Financial_Results_Presentation_E.pdf</vt:lpwstr>
      </vt:variant>
      <vt:variant>
        <vt:lpwstr/>
      </vt:variant>
      <vt:variant>
        <vt:i4>4128843</vt:i4>
      </vt:variant>
      <vt:variant>
        <vt:i4>30</vt:i4>
      </vt:variant>
      <vt:variant>
        <vt:i4>0</vt:i4>
      </vt:variant>
      <vt:variant>
        <vt:i4>5</vt:i4>
      </vt:variant>
      <vt:variant>
        <vt:lpwstr>https://s21.q4cdn.com/488056881/files/doc_financials/2025/q1/First-Quarter-2025-Sales-and-Earnings-FINAL.pdf</vt:lpwstr>
      </vt:variant>
      <vt:variant>
        <vt:lpwstr/>
      </vt:variant>
      <vt:variant>
        <vt:i4>3211381</vt:i4>
      </vt:variant>
      <vt:variant>
        <vt:i4>27</vt:i4>
      </vt:variant>
      <vt:variant>
        <vt:i4>0</vt:i4>
      </vt:variant>
      <vt:variant>
        <vt:i4>5</vt:i4>
      </vt:variant>
      <vt:variant>
        <vt:lpwstr>https://www.roche.com/media/releases/med-cor-2025-04-29</vt:lpwstr>
      </vt:variant>
      <vt:variant>
        <vt:lpwstr/>
      </vt:variant>
      <vt:variant>
        <vt:i4>6422637</vt:i4>
      </vt:variant>
      <vt:variant>
        <vt:i4>24</vt:i4>
      </vt:variant>
      <vt:variant>
        <vt:i4>0</vt:i4>
      </vt:variant>
      <vt:variant>
        <vt:i4>5</vt:i4>
      </vt:variant>
      <vt:variant>
        <vt:lpwstr>https://www.astrazeneca.com/content/dam/az/PDF/2025/q1/Q1-2025-results-clinical-trials-appendix.pdf</vt:lpwstr>
      </vt:variant>
      <vt:variant>
        <vt:lpwstr/>
      </vt:variant>
      <vt:variant>
        <vt:i4>2359356</vt:i4>
      </vt:variant>
      <vt:variant>
        <vt:i4>21</vt:i4>
      </vt:variant>
      <vt:variant>
        <vt:i4>0</vt:i4>
      </vt:variant>
      <vt:variant>
        <vt:i4>5</vt:i4>
      </vt:variant>
      <vt:variant>
        <vt:lpwstr>https://www.astrazeneca.com/content/dam/az/PDF/2025/q1/Q1-2025-results-presentation.pdf</vt:lpwstr>
      </vt:variant>
      <vt:variant>
        <vt:lpwstr/>
      </vt:variant>
      <vt:variant>
        <vt:i4>6094939</vt:i4>
      </vt:variant>
      <vt:variant>
        <vt:i4>18</vt:i4>
      </vt:variant>
      <vt:variant>
        <vt:i4>0</vt:i4>
      </vt:variant>
      <vt:variant>
        <vt:i4>5</vt:i4>
      </vt:variant>
      <vt:variant>
        <vt:lpwstr>https://clinicaltrials.gov/study/NCT06928389?id=HARMONi-8A&amp;rank=1</vt:lpwstr>
      </vt:variant>
      <vt:variant>
        <vt:lpwstr/>
      </vt:variant>
      <vt:variant>
        <vt:i4>6422650</vt:i4>
      </vt:variant>
      <vt:variant>
        <vt:i4>15</vt:i4>
      </vt:variant>
      <vt:variant>
        <vt:i4>0</vt:i4>
      </vt:variant>
      <vt:variant>
        <vt:i4>5</vt:i4>
      </vt:variant>
      <vt:variant>
        <vt:lpwstr>https://nam12.safelinks.protection.outlook.com/?url=https%3A%2F%2Fclinicaltrials.gov%2Fstudy%2FNCT06767514&amp;data=05%7C02%7Cjesse.brock%40abbvie.com%7C66ca2322551041aa214908dd84e87217%7C6f4d03de95514ba1a25bdce6f5ab7ace%7C0%7C0%7C638812856095803695%7CUnknown%7CTWFpbGZsb3d8eyJFbXB0eU1hcGkiOnRydWUsIlYiOiIwLjAuMDAwMCIsIlAiOiJXaW4zMiIsIkFOIjoiTWFpbCIsIldUIjoyfQ%3D%3D%7C0%7C%7C%7C&amp;sdata=0kJZQJx9%2FjL%2F6xhA5SVddNYr2HJnTdrQ76ptyBX2oyw%3D&amp;reserved=0</vt:lpwstr>
      </vt:variant>
      <vt:variant>
        <vt:lpwstr/>
      </vt:variant>
      <vt:variant>
        <vt:i4>6422651</vt:i4>
      </vt:variant>
      <vt:variant>
        <vt:i4>11</vt:i4>
      </vt:variant>
      <vt:variant>
        <vt:i4>0</vt:i4>
      </vt:variant>
      <vt:variant>
        <vt:i4>5</vt:i4>
      </vt:variant>
      <vt:variant>
        <vt:lpwstr>https://nam12.safelinks.protection.outlook.com/?url=https%3A%2F%2Fclinicaltrials.gov%2Fstudy%2FNCT05899608&amp;data=05%7C02%7Cjesse.brock%40abbvie.com%7C66ca2322551041aa214908dd84e87217%7C6f4d03de95514ba1a25bdce6f5ab7ace%7C0%7C0%7C638812856095331938%7CUnknown%7CTWFpbGZsb3d8eyJFbXB0eU1hcGkiOnRydWUsIlYiOiIwLjAuMDAwMCIsIlAiOiJXaW4zMiIsIkFOIjoiTWFpbCIsIldUIjoyfQ%3D%3D%7C0%7C%7C%7C&amp;sdata=nltK%2FQIzCD0%2FRmsxLNtDWLIPGQzn%2BeWRhVx0cLXgGR4%3D&amp;reserved=0</vt:lpwstr>
      </vt:variant>
      <vt:variant>
        <vt:lpwstr/>
      </vt:variant>
      <vt:variant>
        <vt:i4>6422650</vt:i4>
      </vt:variant>
      <vt:variant>
        <vt:i4>9</vt:i4>
      </vt:variant>
      <vt:variant>
        <vt:i4>0</vt:i4>
      </vt:variant>
      <vt:variant>
        <vt:i4>5</vt:i4>
      </vt:variant>
      <vt:variant>
        <vt:lpwstr>https://nam12.safelinks.protection.outlook.com/?url=https%3A%2F%2Fclinicaltrials.gov%2Fstudy%2FNCT06767514&amp;data=05%7C02%7Cjesse.brock%40abbvie.com%7C66ca2322551041aa214908dd84e87217%7C6f4d03de95514ba1a25bdce6f5ab7ace%7C0%7C0%7C638812856095803695%7CUnknown%7CTWFpbGZsb3d8eyJFbXB0eU1hcGkiOnRydWUsIlYiOiIwLjAuMDAwMCIsIlAiOiJXaW4zMiIsIkFOIjoiTWFpbCIsIldUIjoyfQ%3D%3D%7C0%7C%7C%7C&amp;sdata=0kJZQJx9%2FjL%2F6xhA5SVddNYr2HJnTdrQ76ptyBX2oyw%3D&amp;reserved=0</vt:lpwstr>
      </vt:variant>
      <vt:variant>
        <vt:lpwstr/>
      </vt:variant>
      <vt:variant>
        <vt:i4>589824</vt:i4>
      </vt:variant>
      <vt:variant>
        <vt:i4>6</vt:i4>
      </vt:variant>
      <vt:variant>
        <vt:i4>0</vt:i4>
      </vt:variant>
      <vt:variant>
        <vt:i4>5</vt:i4>
      </vt:variant>
      <vt:variant>
        <vt:lpwstr>https://clinicaltrials.gov/study/NCT06767514</vt:lpwstr>
      </vt:variant>
      <vt:variant>
        <vt:lpwstr/>
      </vt:variant>
      <vt:variant>
        <vt:i4>655360</vt:i4>
      </vt:variant>
      <vt:variant>
        <vt:i4>3</vt:i4>
      </vt:variant>
      <vt:variant>
        <vt:i4>0</vt:i4>
      </vt:variant>
      <vt:variant>
        <vt:i4>5</vt:i4>
      </vt:variant>
      <vt:variant>
        <vt:lpwstr>https://clinicaltrials.gov/study/NCT05899608</vt:lpwstr>
      </vt:variant>
      <vt:variant>
        <vt:lpwstr/>
      </vt:variant>
      <vt:variant>
        <vt:i4>2228241</vt:i4>
      </vt:variant>
      <vt:variant>
        <vt:i4>0</vt:i4>
      </vt:variant>
      <vt:variant>
        <vt:i4>0</vt:i4>
      </vt:variant>
      <vt:variant>
        <vt:i4>5</vt:i4>
      </vt:variant>
      <vt:variant>
        <vt:lpwstr>https://www.smmttx.com/wp-content/uploads/2025/05/Q1-2025-Earnings-Deck-_-FINAL.pdf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Hohenberg, Kate W</dc:creator>
  <cp:keywords/>
  <dc:description/>
  <cp:lastModifiedBy>Hohenberg, Kate W</cp:lastModifiedBy>
  <cp:revision>68</cp:revision>
  <dcterms:created xsi:type="dcterms:W3CDTF">2025-05-09T13:10:00Z</dcterms:created>
  <dcterms:modified xsi:type="dcterms:W3CDTF">2025-05-09T15:46:00Z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0x010100FECE8BC269E49047AC4189033AAA57A3</vt:lpwstr>
  </property>
  <property fmtid="{D5CDD505-2E9C-101B-9397-08002B2CF9AE}" pid="3" name="MediaServiceImageTags">
    <vt:lpwstr/>
  </property>
</Properties>
</file>