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00B327A6">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ED946BEB-674C-4231-A8CE-36CCF36266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D9BD440" w14:textId="6441D428" w:rsidR="002E6873" w:rsidRDefault="0082383F" w:rsidP="00942C19">
            <w:pPr>
              <w:jc w:val="center"/>
              <w:rPr>
                <w:b/>
                <w:bCs/>
                <w:color w:val="002060"/>
                <w:sz w:val="32"/>
                <w:szCs w:val="32"/>
              </w:rPr>
            </w:pPr>
            <w:r>
              <w:rPr>
                <w:b/>
                <w:bCs/>
                <w:color w:val="002060"/>
                <w:sz w:val="32"/>
                <w:szCs w:val="32"/>
              </w:rPr>
              <w:t>FDA approved Sotyktu</w:t>
            </w:r>
            <w:r w:rsidR="00C9643A">
              <w:rPr>
                <w:b/>
                <w:bCs/>
                <w:color w:val="002060"/>
                <w:sz w:val="32"/>
                <w:szCs w:val="32"/>
              </w:rPr>
              <w:t xml:space="preserve"> </w:t>
            </w:r>
            <w:r>
              <w:rPr>
                <w:b/>
                <w:bCs/>
                <w:color w:val="002060"/>
                <w:sz w:val="32"/>
                <w:szCs w:val="32"/>
              </w:rPr>
              <w:t xml:space="preserve">for </w:t>
            </w:r>
            <w:r w:rsidR="0006596C">
              <w:rPr>
                <w:b/>
                <w:bCs/>
                <w:color w:val="002060"/>
                <w:sz w:val="32"/>
                <w:szCs w:val="32"/>
              </w:rPr>
              <w:t xml:space="preserve">active </w:t>
            </w:r>
            <w:r>
              <w:rPr>
                <w:b/>
                <w:bCs/>
                <w:color w:val="002060"/>
                <w:sz w:val="32"/>
                <w:szCs w:val="32"/>
              </w:rPr>
              <w:t>PsA</w:t>
            </w:r>
          </w:p>
          <w:p w14:paraId="4A9D2127" w14:textId="77777777" w:rsidR="00FB75D6" w:rsidRDefault="00FB75D6" w:rsidP="00942C1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62ADB3F8"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82383F">
                    <w:rPr>
                      <w:rFonts w:ascii="Aptos" w:eastAsia="Aptos" w:hAnsi="Aptos" w:cs="Aptos"/>
                      <w:color w:val="171717" w:themeColor="background2" w:themeShade="1A"/>
                      <w:sz w:val="16"/>
                      <w:szCs w:val="16"/>
                    </w:rPr>
                    <w:t>BMS</w:t>
                  </w:r>
                </w:p>
                <w:p w14:paraId="6470EEFF" w14:textId="2224CF44"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r w:rsidR="0082383F">
                    <w:rPr>
                      <w:rFonts w:ascii="Aptos" w:eastAsia="Aptos" w:hAnsi="Aptos" w:cs="Aptos"/>
                      <w:color w:val="171717" w:themeColor="background2" w:themeShade="1A"/>
                      <w:sz w:val="16"/>
                      <w:szCs w:val="16"/>
                    </w:rPr>
                    <w:t>Sotyktu (</w:t>
                  </w:r>
                  <w:r w:rsidR="004F19F0">
                    <w:rPr>
                      <w:rFonts w:ascii="Aptos" w:eastAsia="Aptos" w:hAnsi="Aptos" w:cs="Aptos"/>
                      <w:color w:val="171717" w:themeColor="background2" w:themeShade="1A"/>
                      <w:sz w:val="16"/>
                      <w:szCs w:val="16"/>
                    </w:rPr>
                    <w:t>deucravacitinib, oral TYK2 inhibitor)</w:t>
                  </w:r>
                </w:p>
              </w:tc>
              <w:tc>
                <w:tcPr>
                  <w:tcW w:w="4637" w:type="dxa"/>
                  <w:tcMar>
                    <w:left w:w="105" w:type="dxa"/>
                    <w:right w:w="105" w:type="dxa"/>
                  </w:tcMar>
                  <w:vAlign w:val="center"/>
                </w:tcPr>
                <w:p w14:paraId="48EE8D15" w14:textId="160CB3DF"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4F19F0">
                    <w:rPr>
                      <w:color w:val="171717" w:themeColor="background2" w:themeShade="1A"/>
                      <w:sz w:val="16"/>
                      <w:szCs w:val="16"/>
                    </w:rPr>
                    <w:t xml:space="preserve">March </w:t>
                  </w:r>
                  <w:r w:rsidR="0068712E">
                    <w:rPr>
                      <w:color w:val="171717" w:themeColor="background2" w:themeShade="1A"/>
                      <w:sz w:val="16"/>
                      <w:szCs w:val="16"/>
                    </w:rPr>
                    <w:t>6</w:t>
                  </w:r>
                  <w:r w:rsidR="0068712E" w:rsidRPr="004F19F0">
                    <w:rPr>
                      <w:color w:val="171717" w:themeColor="background2" w:themeShade="1A"/>
                      <w:sz w:val="16"/>
                      <w:szCs w:val="16"/>
                      <w:vertAlign w:val="superscript"/>
                    </w:rPr>
                    <w:t>th</w:t>
                  </w:r>
                  <w:r w:rsidR="004F19F0">
                    <w:rPr>
                      <w:color w:val="171717" w:themeColor="background2" w:themeShade="1A"/>
                      <w:sz w:val="16"/>
                      <w:szCs w:val="16"/>
                    </w:rPr>
                    <w:t>, 2026</w:t>
                  </w:r>
                </w:p>
                <w:p w14:paraId="5B8DA44C" w14:textId="4D4D9D72" w:rsidR="00A63C55" w:rsidRPr="00A63C55" w:rsidRDefault="00A63C55" w:rsidP="00F069E1">
                  <w:pPr>
                    <w:jc w:val="center"/>
                    <w:rPr>
                      <w:color w:val="171717" w:themeColor="background2" w:themeShade="1A"/>
                      <w:sz w:val="16"/>
                      <w:szCs w:val="16"/>
                    </w:rPr>
                  </w:pPr>
                  <w:r w:rsidRPr="37D8190F">
                    <w:rPr>
                      <w:b/>
                      <w:bCs/>
                      <w:color w:val="171717" w:themeColor="background2" w:themeShade="1A"/>
                      <w:sz w:val="16"/>
                      <w:szCs w:val="16"/>
                    </w:rPr>
                    <w:t>Source(s):</w:t>
                  </w:r>
                  <w:r w:rsidRPr="37D8190F">
                    <w:rPr>
                      <w:color w:val="171717" w:themeColor="background2" w:themeShade="1A"/>
                      <w:sz w:val="16"/>
                      <w:szCs w:val="16"/>
                    </w:rPr>
                    <w:t xml:space="preserve"> </w:t>
                  </w:r>
                  <w:hyperlink r:id="rId9">
                    <w:r w:rsidR="004F19F0" w:rsidRPr="37D8190F">
                      <w:rPr>
                        <w:rStyle w:val="Hyperlink"/>
                        <w:color w:val="0070C0"/>
                        <w:sz w:val="16"/>
                        <w:szCs w:val="16"/>
                      </w:rPr>
                      <w:t>Press release</w:t>
                    </w:r>
                  </w:hyperlink>
                  <w:r w:rsidR="003F368A" w:rsidRPr="00BA1D73">
                    <w:rPr>
                      <w:rFonts w:ascii="Aptos" w:eastAsia="Aptos" w:hAnsi="Aptos" w:cs="Aptos"/>
                      <w:color w:val="171717" w:themeColor="background2" w:themeShade="1A"/>
                      <w:sz w:val="16"/>
                      <w:szCs w:val="16"/>
                    </w:rPr>
                    <w:t xml:space="preserve">, </w:t>
                  </w:r>
                  <w:hyperlink r:id="rId10" w:history="1">
                    <w:r w:rsidR="003F368A" w:rsidRPr="00BA1D73">
                      <w:rPr>
                        <w:rStyle w:val="Hyperlink"/>
                        <w:rFonts w:ascii="Aptos" w:eastAsia="Aptos" w:hAnsi="Aptos" w:cs="Aptos"/>
                        <w:color w:val="0070C0"/>
                        <w:sz w:val="16"/>
                        <w:szCs w:val="16"/>
                      </w:rPr>
                      <w:t>FDA label</w:t>
                    </w:r>
                  </w:hyperlink>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53131E00" w14:textId="2D9F3840" w:rsidR="002E6873" w:rsidRPr="002E6873" w:rsidRDefault="0068712E" w:rsidP="002E6873">
            <w:pPr>
              <w:pStyle w:val="ListParagraph"/>
              <w:numPr>
                <w:ilvl w:val="0"/>
                <w:numId w:val="1"/>
              </w:numPr>
              <w:rPr>
                <w:color w:val="171717" w:themeColor="background2" w:themeShade="1A"/>
                <w:sz w:val="22"/>
                <w:szCs w:val="22"/>
              </w:rPr>
            </w:pPr>
            <w:r>
              <w:rPr>
                <w:color w:val="171717" w:themeColor="background2" w:themeShade="1A"/>
                <w:sz w:val="22"/>
                <w:szCs w:val="22"/>
              </w:rPr>
              <w:t>On its</w:t>
            </w:r>
            <w:r w:rsidR="00C66C8B">
              <w:rPr>
                <w:color w:val="171717" w:themeColor="background2" w:themeShade="1A"/>
                <w:sz w:val="22"/>
                <w:szCs w:val="22"/>
              </w:rPr>
              <w:t xml:space="preserve"> March 6</w:t>
            </w:r>
            <w:r w:rsidR="00C66C8B" w:rsidRPr="00C66C8B">
              <w:rPr>
                <w:color w:val="171717" w:themeColor="background2" w:themeShade="1A"/>
                <w:sz w:val="22"/>
                <w:szCs w:val="22"/>
                <w:vertAlign w:val="superscript"/>
              </w:rPr>
              <w:t>th</w:t>
            </w:r>
            <w:r w:rsidR="00C66C8B">
              <w:rPr>
                <w:color w:val="171717" w:themeColor="background2" w:themeShade="1A"/>
                <w:sz w:val="22"/>
                <w:szCs w:val="22"/>
              </w:rPr>
              <w:t xml:space="preserve"> </w:t>
            </w:r>
            <w:r w:rsidR="00C12A6E">
              <w:rPr>
                <w:color w:val="171717" w:themeColor="background2" w:themeShade="1A"/>
                <w:sz w:val="22"/>
                <w:szCs w:val="22"/>
              </w:rPr>
              <w:t>PDUFA date</w:t>
            </w:r>
            <w:r w:rsidR="00CE4A82">
              <w:rPr>
                <w:color w:val="171717" w:themeColor="background2" w:themeShade="1A"/>
                <w:sz w:val="22"/>
                <w:szCs w:val="22"/>
              </w:rPr>
              <w:t xml:space="preserve">, the FDA </w:t>
            </w:r>
            <w:hyperlink r:id="rId11" w:history="1">
              <w:r w:rsidR="00CE4A82" w:rsidRPr="002517F5">
                <w:rPr>
                  <w:rStyle w:val="Hyperlink"/>
                  <w:color w:val="0070C0"/>
                  <w:sz w:val="22"/>
                  <w:szCs w:val="22"/>
                </w:rPr>
                <w:t>app</w:t>
              </w:r>
              <w:bookmarkStart w:id="0" w:name="_Hlt223945006"/>
              <w:bookmarkStart w:id="1" w:name="_Hlt223945007"/>
              <w:r w:rsidR="00CE4A82" w:rsidRPr="002517F5">
                <w:rPr>
                  <w:rStyle w:val="Hyperlink"/>
                  <w:color w:val="0070C0"/>
                  <w:sz w:val="22"/>
                  <w:szCs w:val="22"/>
                </w:rPr>
                <w:t>r</w:t>
              </w:r>
              <w:bookmarkEnd w:id="0"/>
              <w:bookmarkEnd w:id="1"/>
              <w:r w:rsidR="00CE4A82" w:rsidRPr="002517F5">
                <w:rPr>
                  <w:rStyle w:val="Hyperlink"/>
                  <w:color w:val="0070C0"/>
                  <w:sz w:val="22"/>
                  <w:szCs w:val="22"/>
                </w:rPr>
                <w:t>oved</w:t>
              </w:r>
            </w:hyperlink>
            <w:r w:rsidR="00CE4A82">
              <w:rPr>
                <w:color w:val="171717" w:themeColor="background2" w:themeShade="1A"/>
                <w:sz w:val="22"/>
                <w:szCs w:val="22"/>
              </w:rPr>
              <w:t xml:space="preserve"> </w:t>
            </w:r>
            <w:r w:rsidR="00116001">
              <w:rPr>
                <w:color w:val="171717" w:themeColor="background2" w:themeShade="1A"/>
                <w:sz w:val="22"/>
                <w:szCs w:val="22"/>
              </w:rPr>
              <w:t xml:space="preserve">Sotyktu (deucravacitinib, oral TYK2 inhibitor) </w:t>
            </w:r>
            <w:r w:rsidR="00116001" w:rsidRPr="00116001">
              <w:rPr>
                <w:color w:val="171717" w:themeColor="background2" w:themeShade="1A"/>
                <w:sz w:val="22"/>
                <w:szCs w:val="22"/>
              </w:rPr>
              <w:t>for the treatment of adults with active psoriatic arthritis (PsA)</w:t>
            </w:r>
          </w:p>
          <w:p w14:paraId="044C78AD" w14:textId="34BD22C5" w:rsidR="002E6873" w:rsidRPr="00BA5E56" w:rsidRDefault="006108A5" w:rsidP="002E6873">
            <w:pPr>
              <w:pStyle w:val="ListParagraph"/>
              <w:numPr>
                <w:ilvl w:val="1"/>
                <w:numId w:val="1"/>
              </w:numPr>
              <w:rPr>
                <w:color w:val="002060"/>
                <w:sz w:val="22"/>
                <w:szCs w:val="22"/>
              </w:rPr>
            </w:pPr>
            <w:r>
              <w:rPr>
                <w:color w:val="171717" w:themeColor="background2" w:themeShade="1A"/>
                <w:sz w:val="22"/>
                <w:szCs w:val="22"/>
              </w:rPr>
              <w:t xml:space="preserve">Approval is based on </w:t>
            </w:r>
            <w:r w:rsidR="000D69AF">
              <w:rPr>
                <w:color w:val="171717" w:themeColor="background2" w:themeShade="1A"/>
                <w:sz w:val="22"/>
                <w:szCs w:val="22"/>
                <w:lang w:val="en-GB"/>
              </w:rPr>
              <w:t xml:space="preserve">the </w:t>
            </w:r>
            <w:r w:rsidRPr="006108A5">
              <w:rPr>
                <w:color w:val="171717" w:themeColor="background2" w:themeShade="1A"/>
                <w:sz w:val="22"/>
                <w:szCs w:val="22"/>
                <w:lang w:val="en-GB"/>
              </w:rPr>
              <w:t>positive</w:t>
            </w:r>
            <w:r w:rsidR="00FC30B3" w:rsidRPr="006108A5">
              <w:rPr>
                <w:color w:val="171717" w:themeColor="background2" w:themeShade="1A"/>
                <w:sz w:val="22"/>
                <w:szCs w:val="22"/>
                <w:lang w:val="en-GB"/>
              </w:rPr>
              <w:t xml:space="preserve"> </w:t>
            </w:r>
            <w:r w:rsidRPr="006108A5">
              <w:rPr>
                <w:color w:val="171717" w:themeColor="background2" w:themeShade="1A"/>
                <w:sz w:val="22"/>
                <w:szCs w:val="22"/>
                <w:lang w:val="en-GB"/>
              </w:rPr>
              <w:t>results from the </w:t>
            </w:r>
            <w:r w:rsidR="00FC30B3">
              <w:rPr>
                <w:color w:val="171717" w:themeColor="background2" w:themeShade="1A"/>
                <w:sz w:val="22"/>
                <w:szCs w:val="22"/>
                <w:lang w:val="en-GB"/>
              </w:rPr>
              <w:t xml:space="preserve">Phase 3 </w:t>
            </w:r>
            <w:hyperlink r:id="rId12" w:tgtFrame="_blank" w:history="1">
              <w:r w:rsidRPr="00CC3545">
                <w:rPr>
                  <w:rStyle w:val="Hyperlink"/>
                  <w:color w:val="0070C0"/>
                  <w:sz w:val="22"/>
                  <w:szCs w:val="22"/>
                  <w:lang w:val="en-GB"/>
                </w:rPr>
                <w:t>POETYK PsA-1</w:t>
              </w:r>
            </w:hyperlink>
            <w:r w:rsidRPr="006108A5">
              <w:rPr>
                <w:color w:val="171717" w:themeColor="background2" w:themeShade="1A"/>
                <w:sz w:val="22"/>
                <w:szCs w:val="22"/>
                <w:lang w:val="en-GB"/>
              </w:rPr>
              <w:t> and </w:t>
            </w:r>
            <w:hyperlink r:id="rId13" w:tgtFrame="_blank" w:history="1">
              <w:r w:rsidRPr="00CC3545">
                <w:rPr>
                  <w:rStyle w:val="Hyperlink"/>
                  <w:color w:val="0070C0"/>
                  <w:sz w:val="22"/>
                  <w:szCs w:val="22"/>
                  <w:lang w:val="en-GB"/>
                </w:rPr>
                <w:t>POETYK PsA-2</w:t>
              </w:r>
            </w:hyperlink>
            <w:r w:rsidRPr="006108A5">
              <w:rPr>
                <w:color w:val="171717" w:themeColor="background2" w:themeShade="1A"/>
                <w:sz w:val="22"/>
                <w:szCs w:val="22"/>
                <w:lang w:val="en-GB"/>
              </w:rPr>
              <w:t> studies</w:t>
            </w:r>
            <w:r w:rsidR="00FC30B3">
              <w:rPr>
                <w:color w:val="171717" w:themeColor="background2" w:themeShade="1A"/>
                <w:sz w:val="22"/>
                <w:szCs w:val="22"/>
                <w:lang w:val="en-GB"/>
              </w:rPr>
              <w:t xml:space="preserve"> </w:t>
            </w:r>
          </w:p>
          <w:p w14:paraId="701FB938" w14:textId="4B699C1A" w:rsidR="00BA5E56" w:rsidRPr="00E73C0C" w:rsidRDefault="002E1076" w:rsidP="002E6873">
            <w:pPr>
              <w:pStyle w:val="ListParagraph"/>
              <w:numPr>
                <w:ilvl w:val="1"/>
                <w:numId w:val="1"/>
              </w:numPr>
              <w:rPr>
                <w:color w:val="002060"/>
                <w:sz w:val="22"/>
                <w:szCs w:val="22"/>
              </w:rPr>
            </w:pPr>
            <w:r>
              <w:rPr>
                <w:color w:val="171717" w:themeColor="background2" w:themeShade="1A"/>
                <w:sz w:val="22"/>
                <w:szCs w:val="22"/>
                <w:lang w:val="en-GB"/>
              </w:rPr>
              <w:t>Approved d</w:t>
            </w:r>
            <w:r w:rsidR="00BA5E56">
              <w:rPr>
                <w:color w:val="171717" w:themeColor="background2" w:themeShade="1A"/>
                <w:sz w:val="22"/>
                <w:szCs w:val="22"/>
                <w:lang w:val="en-GB"/>
              </w:rPr>
              <w:t xml:space="preserve">osage: </w:t>
            </w:r>
            <w:r w:rsidR="00BA5E56" w:rsidRPr="00BA5E56">
              <w:rPr>
                <w:color w:val="171717" w:themeColor="background2" w:themeShade="1A"/>
                <w:sz w:val="22"/>
                <w:szCs w:val="22"/>
              </w:rPr>
              <w:t xml:space="preserve">6mg once daily in adults </w:t>
            </w:r>
          </w:p>
          <w:p w14:paraId="646F4855" w14:textId="503DC4E0" w:rsidR="00E73C0C" w:rsidRPr="00E73C0C" w:rsidRDefault="00917AD7" w:rsidP="00E73C0C">
            <w:pPr>
              <w:pStyle w:val="ListParagraph"/>
              <w:numPr>
                <w:ilvl w:val="1"/>
                <w:numId w:val="1"/>
              </w:numPr>
              <w:spacing w:after="160" w:line="278" w:lineRule="auto"/>
              <w:rPr>
                <w:color w:val="171717" w:themeColor="background2" w:themeShade="1A"/>
                <w:sz w:val="22"/>
                <w:szCs w:val="22"/>
              </w:rPr>
            </w:pPr>
            <w:r>
              <w:rPr>
                <w:color w:val="171717" w:themeColor="background2" w:themeShade="1A"/>
                <w:sz w:val="22"/>
                <w:szCs w:val="22"/>
              </w:rPr>
              <w:t>Consistent with the PsO label</w:t>
            </w:r>
            <w:r w:rsidR="00BE424F">
              <w:rPr>
                <w:color w:val="171717" w:themeColor="background2" w:themeShade="1A"/>
                <w:sz w:val="22"/>
                <w:szCs w:val="22"/>
              </w:rPr>
              <w:t xml:space="preserve">, </w:t>
            </w:r>
            <w:r w:rsidR="00E73C0C" w:rsidRPr="00E73C0C">
              <w:rPr>
                <w:color w:val="171717" w:themeColor="background2" w:themeShade="1A"/>
                <w:sz w:val="22"/>
                <w:szCs w:val="22"/>
              </w:rPr>
              <w:t>Sotyktu is associated with the following warnings and precautions: hypersensitivity reactions, infections, tuberculosis, malignancy including lymphomas, rhabdomyolysis and elevated CPK, laboratory abnormalities, immunizations, and potential risks related to JAK inhibition</w:t>
            </w:r>
          </w:p>
          <w:p w14:paraId="7B742149" w14:textId="6CB69851" w:rsidR="002E6873" w:rsidRPr="00134A40" w:rsidRDefault="00725570" w:rsidP="002E6873">
            <w:pPr>
              <w:pStyle w:val="ListParagraph"/>
              <w:numPr>
                <w:ilvl w:val="0"/>
                <w:numId w:val="1"/>
              </w:numPr>
              <w:rPr>
                <w:color w:val="002060"/>
                <w:sz w:val="22"/>
                <w:szCs w:val="22"/>
              </w:rPr>
            </w:pPr>
            <w:r w:rsidRPr="0084757D">
              <w:rPr>
                <w:color w:val="171717" w:themeColor="background2" w:themeShade="1A"/>
                <w:sz w:val="22"/>
                <w:szCs w:val="22"/>
              </w:rPr>
              <w:t>The FDA</w:t>
            </w:r>
            <w:r w:rsidRPr="00F43100">
              <w:rPr>
                <w:sz w:val="22"/>
                <w:szCs w:val="22"/>
                <w:lang w:val="en-GB"/>
              </w:rPr>
              <w:t xml:space="preserve"> </w:t>
            </w:r>
            <w:hyperlink r:id="rId14" w:history="1">
              <w:r w:rsidRPr="00134A40">
                <w:rPr>
                  <w:rStyle w:val="Hyperlink"/>
                  <w:color w:val="0070C0"/>
                  <w:sz w:val="22"/>
                  <w:szCs w:val="22"/>
                  <w:lang w:val="en-GB"/>
                </w:rPr>
                <w:t>label</w:t>
              </w:r>
            </w:hyperlink>
            <w:r w:rsidRPr="00134A40">
              <w:rPr>
                <w:color w:val="002060"/>
                <w:sz w:val="22"/>
                <w:szCs w:val="22"/>
                <w:lang w:val="en-GB"/>
              </w:rPr>
              <w:t xml:space="preserve"> </w:t>
            </w:r>
            <w:r w:rsidRPr="0084757D">
              <w:rPr>
                <w:color w:val="171717" w:themeColor="background2" w:themeShade="1A"/>
                <w:sz w:val="22"/>
                <w:szCs w:val="22"/>
              </w:rPr>
              <w:t>and</w:t>
            </w:r>
            <w:r w:rsidR="00E552AC" w:rsidRPr="00F43100">
              <w:rPr>
                <w:sz w:val="22"/>
                <w:szCs w:val="22"/>
                <w:lang w:val="en-GB"/>
              </w:rPr>
              <w:t xml:space="preserve"> </w:t>
            </w:r>
            <w:hyperlink r:id="rId15" w:history="1">
              <w:r w:rsidR="00E552AC" w:rsidRPr="00134A40">
                <w:rPr>
                  <w:rStyle w:val="Hyperlink"/>
                  <w:color w:val="0070C0"/>
                  <w:sz w:val="22"/>
                  <w:szCs w:val="22"/>
                </w:rPr>
                <w:t>H</w:t>
              </w:r>
              <w:bookmarkStart w:id="2" w:name="_Hlt223946812"/>
              <w:bookmarkStart w:id="3" w:name="_Hlt223946813"/>
              <w:r w:rsidR="00E552AC" w:rsidRPr="00134A40">
                <w:rPr>
                  <w:rStyle w:val="Hyperlink"/>
                  <w:color w:val="0070C0"/>
                  <w:sz w:val="22"/>
                  <w:szCs w:val="22"/>
                </w:rPr>
                <w:t>C</w:t>
              </w:r>
              <w:bookmarkEnd w:id="2"/>
              <w:bookmarkEnd w:id="3"/>
              <w:r w:rsidR="00E552AC" w:rsidRPr="00134A40">
                <w:rPr>
                  <w:rStyle w:val="Hyperlink"/>
                  <w:color w:val="0070C0"/>
                  <w:sz w:val="22"/>
                  <w:szCs w:val="22"/>
                </w:rPr>
                <w:t>P</w:t>
              </w:r>
            </w:hyperlink>
            <w:r w:rsidR="00E552AC" w:rsidRPr="00134A40">
              <w:rPr>
                <w:color w:val="002060"/>
                <w:sz w:val="22"/>
                <w:szCs w:val="22"/>
              </w:rPr>
              <w:t xml:space="preserve"> </w:t>
            </w:r>
            <w:r w:rsidR="00E552AC" w:rsidRPr="0084757D">
              <w:rPr>
                <w:color w:val="171717" w:themeColor="background2" w:themeShade="1A"/>
                <w:sz w:val="22"/>
                <w:szCs w:val="22"/>
              </w:rPr>
              <w:t xml:space="preserve">website </w:t>
            </w:r>
            <w:r w:rsidR="003F247B">
              <w:rPr>
                <w:color w:val="171717" w:themeColor="background2" w:themeShade="1A"/>
                <w:sz w:val="22"/>
                <w:szCs w:val="22"/>
              </w:rPr>
              <w:t>have been</w:t>
            </w:r>
            <w:r w:rsidR="003F247B" w:rsidRPr="0084757D">
              <w:rPr>
                <w:color w:val="171717" w:themeColor="background2" w:themeShade="1A"/>
                <w:sz w:val="22"/>
                <w:szCs w:val="22"/>
              </w:rPr>
              <w:t xml:space="preserve"> </w:t>
            </w:r>
            <w:r w:rsidR="00E552AC" w:rsidRPr="0084757D">
              <w:rPr>
                <w:color w:val="171717" w:themeColor="background2" w:themeShade="1A"/>
                <w:sz w:val="22"/>
                <w:szCs w:val="22"/>
              </w:rPr>
              <w:t>updated</w:t>
            </w:r>
            <w:r w:rsidR="00134A40" w:rsidRPr="0084757D">
              <w:rPr>
                <w:color w:val="171717" w:themeColor="background2" w:themeShade="1A"/>
                <w:sz w:val="22"/>
                <w:szCs w:val="22"/>
              </w:rPr>
              <w:t xml:space="preserve">; </w:t>
            </w:r>
            <w:r w:rsidR="001801A8" w:rsidRPr="0084757D">
              <w:rPr>
                <w:color w:val="171717" w:themeColor="background2" w:themeShade="1A"/>
                <w:sz w:val="22"/>
                <w:szCs w:val="22"/>
              </w:rPr>
              <w:t>the</w:t>
            </w:r>
            <w:r w:rsidR="001801A8">
              <w:rPr>
                <w:sz w:val="22"/>
                <w:szCs w:val="22"/>
              </w:rPr>
              <w:t xml:space="preserve"> </w:t>
            </w:r>
            <w:hyperlink r:id="rId16" w:history="1">
              <w:r w:rsidRPr="00134A40">
                <w:rPr>
                  <w:rStyle w:val="Hyperlink"/>
                  <w:color w:val="0070C0"/>
                  <w:sz w:val="22"/>
                  <w:szCs w:val="22"/>
                  <w:lang w:val="en-GB"/>
                </w:rPr>
                <w:t>pat</w:t>
              </w:r>
              <w:r w:rsidR="00424CF5" w:rsidRPr="00134A40">
                <w:rPr>
                  <w:rStyle w:val="Hyperlink"/>
                  <w:color w:val="0070C0"/>
                  <w:sz w:val="22"/>
                  <w:szCs w:val="22"/>
                  <w:lang w:val="en-GB"/>
                </w:rPr>
                <w:t>i</w:t>
              </w:r>
              <w:r w:rsidRPr="00134A40">
                <w:rPr>
                  <w:rStyle w:val="Hyperlink"/>
                  <w:color w:val="0070C0"/>
                  <w:sz w:val="22"/>
                  <w:szCs w:val="22"/>
                  <w:lang w:val="en-GB"/>
                </w:rPr>
                <w:t>ent</w:t>
              </w:r>
            </w:hyperlink>
            <w:r w:rsidR="00424CF5" w:rsidRPr="00134A40">
              <w:rPr>
                <w:color w:val="0070C0"/>
                <w:sz w:val="22"/>
                <w:szCs w:val="22"/>
                <w:lang w:val="en-GB"/>
              </w:rPr>
              <w:t xml:space="preserve"> </w:t>
            </w:r>
            <w:r w:rsidR="00383D33" w:rsidRPr="0084757D">
              <w:rPr>
                <w:color w:val="171717" w:themeColor="background2" w:themeShade="1A"/>
                <w:sz w:val="22"/>
                <w:szCs w:val="22"/>
              </w:rPr>
              <w:t>website</w:t>
            </w:r>
            <w:r w:rsidRPr="0084757D">
              <w:rPr>
                <w:color w:val="171717" w:themeColor="background2" w:themeShade="1A"/>
                <w:sz w:val="22"/>
                <w:szCs w:val="22"/>
              </w:rPr>
              <w:t xml:space="preserve"> </w:t>
            </w:r>
            <w:r w:rsidR="00134A40" w:rsidRPr="0084757D">
              <w:rPr>
                <w:color w:val="171717" w:themeColor="background2" w:themeShade="1A"/>
                <w:sz w:val="22"/>
                <w:szCs w:val="22"/>
              </w:rPr>
              <w:t>has</w:t>
            </w:r>
            <w:r w:rsidRPr="0084757D">
              <w:rPr>
                <w:color w:val="171717" w:themeColor="background2" w:themeShade="1A"/>
                <w:sz w:val="22"/>
                <w:szCs w:val="22"/>
              </w:rPr>
              <w:t xml:space="preserve"> not been updated yet</w:t>
            </w:r>
            <w:r w:rsidR="002E1076">
              <w:rPr>
                <w:color w:val="171717" w:themeColor="background2" w:themeShade="1A"/>
                <w:sz w:val="22"/>
                <w:szCs w:val="22"/>
              </w:rPr>
              <w:t xml:space="preserve"> to reflect the approval</w:t>
            </w:r>
          </w:p>
          <w:p w14:paraId="233904B2" w14:textId="77777777" w:rsidR="00134A40" w:rsidRDefault="00134A40" w:rsidP="002E6873">
            <w:pPr>
              <w:rPr>
                <w:b/>
                <w:bCs/>
                <w:color w:val="002060"/>
                <w:sz w:val="28"/>
                <w:szCs w:val="28"/>
              </w:rPr>
            </w:pPr>
          </w:p>
          <w:p w14:paraId="120E1270" w14:textId="738A7F0D" w:rsidR="002E6873" w:rsidRPr="002E6873" w:rsidRDefault="002E6873" w:rsidP="002E6873">
            <w:pPr>
              <w:rPr>
                <w:b/>
                <w:bCs/>
                <w:color w:val="002060"/>
                <w:sz w:val="28"/>
                <w:szCs w:val="28"/>
              </w:rPr>
            </w:pPr>
            <w:r>
              <w:rPr>
                <w:b/>
                <w:bCs/>
                <w:color w:val="002060"/>
                <w:sz w:val="28"/>
                <w:szCs w:val="28"/>
              </w:rPr>
              <w:t xml:space="preserve">Impact (CI PoV): </w:t>
            </w:r>
            <w:r w:rsidRPr="002E6873">
              <w:rPr>
                <w:b/>
                <w:bCs/>
                <w:color w:val="C00000"/>
                <w:sz w:val="28"/>
                <w:szCs w:val="28"/>
              </w:rPr>
              <w:t>HIGH</w:t>
            </w:r>
          </w:p>
          <w:p w14:paraId="40E60C28" w14:textId="33FE5E8D" w:rsidR="002E6873" w:rsidRPr="002E6873" w:rsidRDefault="005565E5" w:rsidP="002E6873">
            <w:pPr>
              <w:pStyle w:val="ListParagraph"/>
              <w:numPr>
                <w:ilvl w:val="0"/>
                <w:numId w:val="1"/>
              </w:numPr>
              <w:spacing w:after="160" w:line="278" w:lineRule="auto"/>
              <w:rPr>
                <w:color w:val="171717" w:themeColor="background2" w:themeShade="1A"/>
                <w:sz w:val="22"/>
                <w:szCs w:val="22"/>
              </w:rPr>
            </w:pPr>
            <w:r w:rsidRPr="005565E5">
              <w:rPr>
                <w:color w:val="171717" w:themeColor="background2" w:themeShade="1A"/>
                <w:sz w:val="22"/>
                <w:szCs w:val="22"/>
              </w:rPr>
              <w:t xml:space="preserve">The FDA approval </w:t>
            </w:r>
            <w:r w:rsidR="00A867A7">
              <w:rPr>
                <w:color w:val="171717" w:themeColor="background2" w:themeShade="1A"/>
                <w:sz w:val="22"/>
                <w:szCs w:val="22"/>
              </w:rPr>
              <w:t>makes</w:t>
            </w:r>
            <w:r w:rsidRPr="005565E5">
              <w:rPr>
                <w:color w:val="171717" w:themeColor="background2" w:themeShade="1A"/>
                <w:sz w:val="22"/>
                <w:szCs w:val="22"/>
              </w:rPr>
              <w:t xml:space="preserve"> Sotyktu </w:t>
            </w:r>
            <w:r w:rsidR="00A867A7">
              <w:rPr>
                <w:color w:val="171717" w:themeColor="background2" w:themeShade="1A"/>
                <w:sz w:val="22"/>
                <w:szCs w:val="22"/>
              </w:rPr>
              <w:t xml:space="preserve">the first </w:t>
            </w:r>
            <w:r w:rsidR="00802F7A">
              <w:rPr>
                <w:color w:val="171717" w:themeColor="background2" w:themeShade="1A"/>
                <w:sz w:val="22"/>
                <w:szCs w:val="22"/>
              </w:rPr>
              <w:t>and only</w:t>
            </w:r>
            <w:r w:rsidR="00A867A7">
              <w:rPr>
                <w:color w:val="171717" w:themeColor="background2" w:themeShade="1A"/>
                <w:sz w:val="22"/>
                <w:szCs w:val="22"/>
              </w:rPr>
              <w:t xml:space="preserve"> oral TYK2 </w:t>
            </w:r>
            <w:r w:rsidR="00AC27A4">
              <w:rPr>
                <w:color w:val="171717" w:themeColor="background2" w:themeShade="1A"/>
                <w:sz w:val="22"/>
                <w:szCs w:val="22"/>
              </w:rPr>
              <w:t>inhibitor</w:t>
            </w:r>
            <w:r w:rsidR="00A867A7">
              <w:rPr>
                <w:color w:val="171717" w:themeColor="background2" w:themeShade="1A"/>
                <w:sz w:val="22"/>
                <w:szCs w:val="22"/>
              </w:rPr>
              <w:t xml:space="preserve"> approved for adults with active PsA, expanding </w:t>
            </w:r>
            <w:r w:rsidR="005E1A87">
              <w:rPr>
                <w:color w:val="171717" w:themeColor="background2" w:themeShade="1A"/>
                <w:sz w:val="22"/>
                <w:szCs w:val="22"/>
              </w:rPr>
              <w:t xml:space="preserve">its 2022 </w:t>
            </w:r>
            <w:hyperlink r:id="rId17" w:history="1">
              <w:r w:rsidR="005E1A87" w:rsidRPr="001B2AC6">
                <w:rPr>
                  <w:rStyle w:val="Hyperlink"/>
                  <w:sz w:val="22"/>
                  <w:szCs w:val="22"/>
                </w:rPr>
                <w:t>approval</w:t>
              </w:r>
            </w:hyperlink>
            <w:r w:rsidR="005E1A87">
              <w:rPr>
                <w:color w:val="171717" w:themeColor="background2" w:themeShade="1A"/>
                <w:sz w:val="22"/>
                <w:szCs w:val="22"/>
              </w:rPr>
              <w:t xml:space="preserve"> in </w:t>
            </w:r>
            <w:r w:rsidRPr="005565E5">
              <w:rPr>
                <w:color w:val="171717" w:themeColor="background2" w:themeShade="1A"/>
                <w:sz w:val="22"/>
                <w:szCs w:val="22"/>
              </w:rPr>
              <w:t>moderate-to-severe plaque psoriasis (</w:t>
            </w:r>
            <w:r>
              <w:rPr>
                <w:color w:val="171717" w:themeColor="background2" w:themeShade="1A"/>
                <w:sz w:val="22"/>
                <w:szCs w:val="22"/>
              </w:rPr>
              <w:t>P</w:t>
            </w:r>
            <w:r w:rsidRPr="005565E5">
              <w:rPr>
                <w:color w:val="171717" w:themeColor="background2" w:themeShade="1A"/>
                <w:sz w:val="22"/>
                <w:szCs w:val="22"/>
              </w:rPr>
              <w:t>sO</w:t>
            </w:r>
            <w:r w:rsidR="005E1A87">
              <w:rPr>
                <w:color w:val="171717" w:themeColor="background2" w:themeShade="1A"/>
                <w:sz w:val="22"/>
                <w:szCs w:val="22"/>
              </w:rPr>
              <w:t>)</w:t>
            </w:r>
          </w:p>
          <w:p w14:paraId="6F829BA0" w14:textId="0864E526" w:rsidR="00F741D4" w:rsidRPr="000A2292" w:rsidRDefault="00163D4E" w:rsidP="00BA1D73">
            <w:pPr>
              <w:pStyle w:val="ListParagraph"/>
              <w:numPr>
                <w:ilvl w:val="1"/>
                <w:numId w:val="1"/>
              </w:numPr>
              <w:rPr>
                <w:b/>
                <w:color w:val="002060"/>
                <w:sz w:val="28"/>
                <w:szCs w:val="28"/>
              </w:rPr>
            </w:pPr>
            <w:r>
              <w:rPr>
                <w:i/>
                <w:iCs/>
                <w:color w:val="0070C0"/>
                <w:sz w:val="22"/>
                <w:szCs w:val="22"/>
              </w:rPr>
              <w:t xml:space="preserve">This approval </w:t>
            </w:r>
            <w:r w:rsidR="00D01F74">
              <w:rPr>
                <w:i/>
                <w:iCs/>
                <w:color w:val="0070C0"/>
                <w:sz w:val="22"/>
                <w:szCs w:val="22"/>
              </w:rPr>
              <w:t>allows</w:t>
            </w:r>
            <w:r w:rsidRPr="00163D4E">
              <w:rPr>
                <w:i/>
                <w:iCs/>
                <w:color w:val="0070C0"/>
                <w:sz w:val="22"/>
                <w:szCs w:val="22"/>
              </w:rPr>
              <w:t xml:space="preserve"> BMS to establish early physician familiarity and real-world evidence ahead of emerging oral competitors </w:t>
            </w:r>
            <w:r>
              <w:rPr>
                <w:i/>
                <w:iCs/>
                <w:color w:val="0070C0"/>
                <w:sz w:val="22"/>
                <w:szCs w:val="22"/>
              </w:rPr>
              <w:t xml:space="preserve">such as </w:t>
            </w:r>
            <w:r w:rsidRPr="00163D4E">
              <w:rPr>
                <w:i/>
                <w:iCs/>
                <w:color w:val="0070C0"/>
                <w:sz w:val="22"/>
                <w:szCs w:val="22"/>
              </w:rPr>
              <w:t>JNJ’s Icotyde (icotrokinra, oral IL-23R antagonist) and Takeda’s Zasocitinib (TAK-279, oral TYK2 inhibitor), with approvals expected in Q1 2028 and Q3 2028, respectively</w:t>
            </w:r>
          </w:p>
          <w:p w14:paraId="68D98002" w14:textId="77777777" w:rsidR="00153503" w:rsidRDefault="00153503" w:rsidP="002E6873">
            <w:pPr>
              <w:rPr>
                <w:b/>
                <w:bCs/>
                <w:color w:val="002060"/>
                <w:sz w:val="28"/>
                <w:szCs w:val="28"/>
              </w:rPr>
            </w:pPr>
          </w:p>
          <w:p w14:paraId="3794E578" w14:textId="1B495F4B" w:rsidR="002E6873" w:rsidRPr="002E6873" w:rsidRDefault="00B533F9" w:rsidP="002E6873">
            <w:pPr>
              <w:rPr>
                <w:b/>
                <w:bCs/>
                <w:color w:val="002060"/>
                <w:sz w:val="28"/>
                <w:szCs w:val="28"/>
              </w:rPr>
            </w:pPr>
            <w:r>
              <w:rPr>
                <w:b/>
                <w:bCs/>
                <w:color w:val="002060"/>
                <w:sz w:val="28"/>
                <w:szCs w:val="28"/>
              </w:rPr>
              <w:t xml:space="preserve">Why it matters </w:t>
            </w:r>
            <w:r w:rsidRPr="00B533F9">
              <w:rPr>
                <w:i/>
                <w:iCs/>
                <w:color w:val="0070C0"/>
              </w:rPr>
              <w:t>(CI Insights in blue italics)</w:t>
            </w:r>
            <w:r w:rsidR="002E6873" w:rsidRPr="002E6873">
              <w:rPr>
                <w:b/>
                <w:bCs/>
                <w:color w:val="002060"/>
                <w:sz w:val="28"/>
                <w:szCs w:val="28"/>
              </w:rPr>
              <w:t>:</w:t>
            </w:r>
          </w:p>
          <w:p w14:paraId="6633F57F" w14:textId="3A64A75C" w:rsidR="002E6873" w:rsidRPr="002E6873" w:rsidRDefault="002D5EB6" w:rsidP="002E6873">
            <w:pPr>
              <w:pStyle w:val="ListParagraph"/>
              <w:numPr>
                <w:ilvl w:val="0"/>
                <w:numId w:val="1"/>
              </w:numPr>
              <w:spacing w:after="160" w:line="278" w:lineRule="auto"/>
              <w:rPr>
                <w:color w:val="171717" w:themeColor="background2" w:themeShade="1A"/>
                <w:sz w:val="22"/>
                <w:szCs w:val="22"/>
              </w:rPr>
            </w:pPr>
            <w:r>
              <w:rPr>
                <w:color w:val="171717" w:themeColor="background2" w:themeShade="1A"/>
                <w:sz w:val="22"/>
                <w:szCs w:val="22"/>
              </w:rPr>
              <w:t xml:space="preserve">The approval </w:t>
            </w:r>
            <w:r w:rsidR="00DC4EAF">
              <w:rPr>
                <w:color w:val="171717" w:themeColor="background2" w:themeShade="1A"/>
                <w:sz w:val="22"/>
                <w:szCs w:val="22"/>
              </w:rPr>
              <w:t>offers</w:t>
            </w:r>
            <w:r w:rsidR="002B3157">
              <w:rPr>
                <w:color w:val="171717" w:themeColor="background2" w:themeShade="1A"/>
                <w:sz w:val="22"/>
                <w:szCs w:val="22"/>
              </w:rPr>
              <w:t xml:space="preserve"> a</w:t>
            </w:r>
            <w:r w:rsidR="00354AF6">
              <w:rPr>
                <w:color w:val="171717" w:themeColor="background2" w:themeShade="1A"/>
                <w:sz w:val="22"/>
                <w:szCs w:val="22"/>
              </w:rPr>
              <w:t xml:space="preserve"> new</w:t>
            </w:r>
            <w:r w:rsidR="002B3157">
              <w:rPr>
                <w:color w:val="171717" w:themeColor="background2" w:themeShade="1A"/>
                <w:sz w:val="22"/>
                <w:szCs w:val="22"/>
              </w:rPr>
              <w:t xml:space="preserve"> </w:t>
            </w:r>
            <w:r w:rsidR="00C010A6">
              <w:rPr>
                <w:color w:val="171717" w:themeColor="background2" w:themeShade="1A"/>
                <w:sz w:val="22"/>
                <w:szCs w:val="22"/>
              </w:rPr>
              <w:t xml:space="preserve">once-daily </w:t>
            </w:r>
            <w:r w:rsidR="002B3157">
              <w:rPr>
                <w:color w:val="171717" w:themeColor="background2" w:themeShade="1A"/>
                <w:sz w:val="22"/>
                <w:szCs w:val="22"/>
              </w:rPr>
              <w:t>oral option</w:t>
            </w:r>
            <w:r w:rsidR="003E0539">
              <w:rPr>
                <w:color w:val="171717" w:themeColor="background2" w:themeShade="1A"/>
                <w:sz w:val="22"/>
                <w:szCs w:val="22"/>
              </w:rPr>
              <w:t xml:space="preserve"> t</w:t>
            </w:r>
            <w:r w:rsidR="003E0539" w:rsidRPr="003E0539">
              <w:rPr>
                <w:color w:val="171717" w:themeColor="background2" w:themeShade="1A"/>
                <w:sz w:val="22"/>
                <w:szCs w:val="22"/>
              </w:rPr>
              <w:t xml:space="preserve">hat may appeal to patients seeking an alternative to injectable biologics while potentially </w:t>
            </w:r>
            <w:r w:rsidR="00D2624C" w:rsidRPr="00D2624C">
              <w:rPr>
                <w:color w:val="171717" w:themeColor="background2" w:themeShade="1A"/>
                <w:sz w:val="22"/>
                <w:szCs w:val="22"/>
              </w:rPr>
              <w:t xml:space="preserve">providing a more manageable safety and monitoring profile </w:t>
            </w:r>
            <w:r w:rsidR="00F76BCA">
              <w:rPr>
                <w:color w:val="171717" w:themeColor="background2" w:themeShade="1A"/>
                <w:sz w:val="22"/>
                <w:szCs w:val="22"/>
              </w:rPr>
              <w:t xml:space="preserve">than </w:t>
            </w:r>
            <w:r w:rsidR="00D2624C" w:rsidRPr="00D2624C">
              <w:rPr>
                <w:color w:val="171717" w:themeColor="background2" w:themeShade="1A"/>
                <w:sz w:val="22"/>
                <w:szCs w:val="22"/>
              </w:rPr>
              <w:t>JAK inhibitors</w:t>
            </w:r>
          </w:p>
          <w:p w14:paraId="28342897" w14:textId="4EF3398B" w:rsidR="00F741D4" w:rsidRPr="00F741D4" w:rsidRDefault="00F741D4" w:rsidP="00F741D4">
            <w:pPr>
              <w:pStyle w:val="ListParagraph"/>
              <w:numPr>
                <w:ilvl w:val="1"/>
                <w:numId w:val="1"/>
              </w:numPr>
              <w:spacing w:after="160" w:line="278" w:lineRule="auto"/>
              <w:rPr>
                <w:i/>
                <w:iCs/>
                <w:color w:val="0070C0"/>
                <w:sz w:val="22"/>
                <w:szCs w:val="22"/>
              </w:rPr>
            </w:pPr>
            <w:r w:rsidRPr="007B7D7C">
              <w:rPr>
                <w:i/>
                <w:iCs/>
                <w:color w:val="0070C0"/>
                <w:sz w:val="22"/>
                <w:szCs w:val="22"/>
              </w:rPr>
              <w:t xml:space="preserve">Sotyktu’s uptake in PsA will </w:t>
            </w:r>
            <w:r>
              <w:rPr>
                <w:i/>
                <w:iCs/>
                <w:color w:val="0070C0"/>
                <w:sz w:val="22"/>
                <w:szCs w:val="22"/>
              </w:rPr>
              <w:t>likely</w:t>
            </w:r>
            <w:r w:rsidRPr="007B7D7C">
              <w:rPr>
                <w:i/>
                <w:iCs/>
                <w:color w:val="0070C0"/>
                <w:sz w:val="22"/>
                <w:szCs w:val="22"/>
              </w:rPr>
              <w:t xml:space="preserve"> depend in part on the level of commercial support BMS allocates to the indication, </w:t>
            </w:r>
            <w:r w:rsidRPr="002D54A6">
              <w:rPr>
                <w:i/>
                <w:iCs/>
                <w:color w:val="0070C0"/>
                <w:sz w:val="22"/>
                <w:szCs w:val="22"/>
              </w:rPr>
              <w:t xml:space="preserve">particularly following </w:t>
            </w:r>
            <w:r>
              <w:rPr>
                <w:i/>
                <w:iCs/>
                <w:color w:val="0070C0"/>
                <w:sz w:val="22"/>
                <w:szCs w:val="22"/>
              </w:rPr>
              <w:t xml:space="preserve">its </w:t>
            </w:r>
            <w:hyperlink r:id="rId18" w:history="1">
              <w:r w:rsidRPr="004E5A91">
                <w:rPr>
                  <w:rStyle w:val="Hyperlink"/>
                  <w:i/>
                  <w:iCs/>
                  <w:sz w:val="22"/>
                  <w:szCs w:val="22"/>
                </w:rPr>
                <w:t>removal</w:t>
              </w:r>
            </w:hyperlink>
            <w:r w:rsidRPr="00A22D99">
              <w:rPr>
                <w:i/>
                <w:iCs/>
                <w:color w:val="0070C0"/>
                <w:sz w:val="22"/>
                <w:szCs w:val="22"/>
              </w:rPr>
              <w:t xml:space="preserve"> </w:t>
            </w:r>
            <w:r w:rsidRPr="002D54A6">
              <w:rPr>
                <w:i/>
                <w:iCs/>
                <w:color w:val="0070C0"/>
                <w:sz w:val="22"/>
                <w:szCs w:val="22"/>
              </w:rPr>
              <w:t>from promotional activities in dermatology in the US and several ex-US markets</w:t>
            </w:r>
          </w:p>
          <w:p w14:paraId="1F7BDE54" w14:textId="09CA8380" w:rsidR="00163D4E" w:rsidRDefault="00962EBA" w:rsidP="00BA1D73">
            <w:pPr>
              <w:jc w:val="center"/>
              <w:rPr>
                <w:b/>
                <w:bCs/>
                <w:color w:val="002060"/>
                <w:sz w:val="28"/>
                <w:szCs w:val="28"/>
              </w:rPr>
            </w:pPr>
            <w:r w:rsidRPr="002A7E5B">
              <w:rPr>
                <w:noProof/>
                <w:color w:val="171717" w:themeColor="background2" w:themeShade="1A"/>
                <w:sz w:val="22"/>
                <w:szCs w:val="22"/>
              </w:rPr>
              <w:drawing>
                <wp:inline distT="0" distB="0" distL="0" distR="0" wp14:anchorId="6C8901CC" wp14:editId="5F16D53C">
                  <wp:extent cx="2647950" cy="1334159"/>
                  <wp:effectExtent l="19050" t="19050" r="19050" b="18415"/>
                  <wp:docPr id="657408974" name="Picture 65740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70384" name=""/>
                          <pic:cNvPicPr/>
                        </pic:nvPicPr>
                        <pic:blipFill>
                          <a:blip r:embed="rId19"/>
                          <a:stretch>
                            <a:fillRect/>
                          </a:stretch>
                        </pic:blipFill>
                        <pic:spPr>
                          <a:xfrm>
                            <a:off x="0" y="0"/>
                            <a:ext cx="2651261" cy="1335827"/>
                          </a:xfrm>
                          <a:prstGeom prst="rect">
                            <a:avLst/>
                          </a:prstGeom>
                          <a:ln>
                            <a:solidFill>
                              <a:schemeClr val="accent1"/>
                            </a:solidFill>
                          </a:ln>
                        </pic:spPr>
                      </pic:pic>
                    </a:graphicData>
                  </a:graphic>
                </wp:inline>
              </w:drawing>
            </w:r>
            <w:r>
              <w:rPr>
                <w:noProof/>
                <w:color w:val="000000"/>
              </w:rPr>
              <w:drawing>
                <wp:inline distT="0" distB="0" distL="0" distR="0" wp14:anchorId="392379A7" wp14:editId="1E3CDB3F">
                  <wp:extent cx="2805374" cy="1324610"/>
                  <wp:effectExtent l="19050" t="19050" r="14605" b="27940"/>
                  <wp:docPr id="97424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28"/>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2847024" cy="1344276"/>
                          </a:xfrm>
                          <a:prstGeom prst="rect">
                            <a:avLst/>
                          </a:prstGeom>
                          <a:noFill/>
                          <a:ln>
                            <a:solidFill>
                              <a:schemeClr val="accent1"/>
                            </a:solidFill>
                          </a:ln>
                        </pic:spPr>
                      </pic:pic>
                    </a:graphicData>
                  </a:graphic>
                </wp:inline>
              </w:drawing>
            </w:r>
          </w:p>
          <w:p w14:paraId="27D5C1DD" w14:textId="77777777" w:rsidR="00A3280E" w:rsidRDefault="00A3280E" w:rsidP="002E6873">
            <w:pPr>
              <w:rPr>
                <w:b/>
                <w:bCs/>
                <w:color w:val="002060"/>
                <w:sz w:val="28"/>
                <w:szCs w:val="28"/>
              </w:rPr>
            </w:pPr>
          </w:p>
          <w:p w14:paraId="6CA81F79" w14:textId="7996C378" w:rsidR="002E6873" w:rsidRPr="002E6873" w:rsidRDefault="00B533F9" w:rsidP="002E6873">
            <w:pPr>
              <w:rPr>
                <w:b/>
                <w:bCs/>
                <w:color w:val="002060"/>
                <w:sz w:val="28"/>
                <w:szCs w:val="28"/>
              </w:rPr>
            </w:pPr>
            <w:r>
              <w:rPr>
                <w:b/>
                <w:bCs/>
                <w:color w:val="002060"/>
                <w:sz w:val="28"/>
                <w:szCs w:val="28"/>
              </w:rPr>
              <w:t>Tell me more</w:t>
            </w:r>
            <w:r w:rsidR="002E6873" w:rsidRPr="002E6873">
              <w:rPr>
                <w:b/>
                <w:bCs/>
                <w:color w:val="002060"/>
                <w:sz w:val="28"/>
                <w:szCs w:val="28"/>
              </w:rPr>
              <w:t>:</w:t>
            </w:r>
          </w:p>
          <w:p w14:paraId="0F13AF30" w14:textId="7881F452" w:rsidR="002B4335" w:rsidRPr="00A3280E" w:rsidRDefault="00285EDD" w:rsidP="00BA1D73">
            <w:pPr>
              <w:pStyle w:val="ListParagraph"/>
              <w:numPr>
                <w:ilvl w:val="0"/>
                <w:numId w:val="1"/>
              </w:numPr>
              <w:rPr>
                <w:color w:val="171717" w:themeColor="background2" w:themeShade="1A"/>
                <w:sz w:val="22"/>
                <w:szCs w:val="22"/>
              </w:rPr>
            </w:pPr>
            <w:r w:rsidRPr="00285EDD">
              <w:rPr>
                <w:color w:val="171717" w:themeColor="background2" w:themeShade="1A"/>
                <w:sz w:val="22"/>
                <w:szCs w:val="22"/>
              </w:rPr>
              <w:t xml:space="preserve">FDA approval is supported by the </w:t>
            </w:r>
            <w:r>
              <w:rPr>
                <w:color w:val="171717" w:themeColor="background2" w:themeShade="1A"/>
                <w:sz w:val="22"/>
                <w:szCs w:val="22"/>
              </w:rPr>
              <w:t xml:space="preserve">Phase 3 </w:t>
            </w:r>
            <w:r w:rsidR="00CB7FB2" w:rsidRPr="00CB7FB2">
              <w:rPr>
                <w:color w:val="171717" w:themeColor="background2" w:themeShade="1A"/>
                <w:sz w:val="22"/>
                <w:szCs w:val="22"/>
              </w:rPr>
              <w:t>multicenter, randomized, double-blind, placebo-controlled</w:t>
            </w:r>
            <w:r>
              <w:rPr>
                <w:color w:val="171717" w:themeColor="background2" w:themeShade="1A"/>
                <w:sz w:val="22"/>
                <w:szCs w:val="22"/>
              </w:rPr>
              <w:t xml:space="preserve"> </w:t>
            </w:r>
            <w:hyperlink r:id="rId22" w:history="1">
              <w:r w:rsidRPr="002517F5">
                <w:rPr>
                  <w:rStyle w:val="Hyperlink"/>
                  <w:color w:val="0070C0"/>
                  <w:sz w:val="22"/>
                  <w:szCs w:val="22"/>
                </w:rPr>
                <w:t>POETYK-PsA-1</w:t>
              </w:r>
            </w:hyperlink>
            <w:r w:rsidRPr="00285EDD">
              <w:rPr>
                <w:color w:val="171717" w:themeColor="background2" w:themeShade="1A"/>
                <w:sz w:val="22"/>
                <w:szCs w:val="22"/>
              </w:rPr>
              <w:t xml:space="preserve"> and </w:t>
            </w:r>
            <w:hyperlink r:id="rId23" w:history="1">
              <w:r w:rsidRPr="002517F5">
                <w:rPr>
                  <w:rStyle w:val="Hyperlink"/>
                  <w:color w:val="0070C0"/>
                  <w:sz w:val="22"/>
                  <w:szCs w:val="22"/>
                </w:rPr>
                <w:t>POETYK-PsA-2</w:t>
              </w:r>
            </w:hyperlink>
            <w:r w:rsidRPr="00285EDD">
              <w:rPr>
                <w:color w:val="171717" w:themeColor="background2" w:themeShade="1A"/>
                <w:sz w:val="22"/>
                <w:szCs w:val="22"/>
              </w:rPr>
              <w:t xml:space="preserve"> </w:t>
            </w:r>
            <w:r>
              <w:rPr>
                <w:color w:val="171717" w:themeColor="background2" w:themeShade="1A"/>
                <w:sz w:val="22"/>
                <w:szCs w:val="22"/>
              </w:rPr>
              <w:t>trials</w:t>
            </w:r>
            <w:r w:rsidR="004C7690">
              <w:rPr>
                <w:color w:val="171717" w:themeColor="background2" w:themeShade="1A"/>
                <w:sz w:val="22"/>
                <w:szCs w:val="22"/>
              </w:rPr>
              <w:t xml:space="preserve"> that evaluated </w:t>
            </w:r>
            <w:r w:rsidR="006354C2">
              <w:rPr>
                <w:color w:val="171717" w:themeColor="background2" w:themeShade="1A"/>
                <w:sz w:val="22"/>
                <w:szCs w:val="22"/>
              </w:rPr>
              <w:t>the safety and efficacy of</w:t>
            </w:r>
            <w:r w:rsidR="004C7690">
              <w:rPr>
                <w:color w:val="171717" w:themeColor="background2" w:themeShade="1A"/>
                <w:sz w:val="22"/>
                <w:szCs w:val="22"/>
              </w:rPr>
              <w:t xml:space="preserve"> Sotyktu </w:t>
            </w:r>
            <w:r w:rsidR="00FD64CA">
              <w:rPr>
                <w:color w:val="171717" w:themeColor="background2" w:themeShade="1A"/>
                <w:sz w:val="22"/>
                <w:szCs w:val="22"/>
              </w:rPr>
              <w:t xml:space="preserve">in adults </w:t>
            </w:r>
            <w:r w:rsidR="008C09A9">
              <w:rPr>
                <w:color w:val="171717" w:themeColor="background2" w:themeShade="1A"/>
                <w:sz w:val="22"/>
                <w:szCs w:val="22"/>
              </w:rPr>
              <w:t>with active PsA</w:t>
            </w:r>
          </w:p>
          <w:p w14:paraId="66F9278F" w14:textId="5A269F52" w:rsidR="007564D4" w:rsidRPr="007564D4" w:rsidRDefault="007564D4" w:rsidP="007564D4">
            <w:pPr>
              <w:pStyle w:val="ListParagraph"/>
              <w:numPr>
                <w:ilvl w:val="0"/>
                <w:numId w:val="1"/>
              </w:numPr>
              <w:rPr>
                <w:b/>
                <w:bCs/>
                <w:color w:val="171717" w:themeColor="background2" w:themeShade="1A"/>
                <w:sz w:val="22"/>
                <w:szCs w:val="22"/>
              </w:rPr>
            </w:pPr>
            <w:r w:rsidRPr="007564D4">
              <w:rPr>
                <w:b/>
                <w:bCs/>
                <w:color w:val="171717" w:themeColor="background2" w:themeShade="1A"/>
                <w:sz w:val="22"/>
                <w:szCs w:val="22"/>
              </w:rPr>
              <w:t>Study Design</w:t>
            </w:r>
          </w:p>
          <w:p w14:paraId="6367A439" w14:textId="62AB5BC1" w:rsidR="002D5992" w:rsidRDefault="002D5992">
            <w:pPr>
              <w:pStyle w:val="ListParagraph"/>
              <w:numPr>
                <w:ilvl w:val="1"/>
                <w:numId w:val="1"/>
              </w:numPr>
              <w:rPr>
                <w:color w:val="171717" w:themeColor="background2" w:themeShade="1A"/>
                <w:sz w:val="22"/>
                <w:szCs w:val="22"/>
              </w:rPr>
            </w:pPr>
            <w:r w:rsidRPr="002D5992">
              <w:rPr>
                <w:color w:val="171717" w:themeColor="background2" w:themeShade="1A"/>
                <w:sz w:val="22"/>
                <w:szCs w:val="22"/>
              </w:rPr>
              <w:t xml:space="preserve">POETYK PsA-1 included 670 patients with active PsA who were </w:t>
            </w:r>
            <w:proofErr w:type="spellStart"/>
            <w:r w:rsidRPr="002D5992">
              <w:rPr>
                <w:color w:val="171717" w:themeColor="background2" w:themeShade="1A"/>
                <w:sz w:val="22"/>
                <w:szCs w:val="22"/>
              </w:rPr>
              <w:t>bDMARD</w:t>
            </w:r>
            <w:proofErr w:type="spellEnd"/>
            <w:r w:rsidRPr="002D5992">
              <w:rPr>
                <w:color w:val="171717" w:themeColor="background2" w:themeShade="1A"/>
                <w:sz w:val="22"/>
                <w:szCs w:val="22"/>
              </w:rPr>
              <w:t xml:space="preserve"> </w:t>
            </w:r>
            <w:proofErr w:type="gramStart"/>
            <w:r w:rsidRPr="002D5992">
              <w:rPr>
                <w:color w:val="171717" w:themeColor="background2" w:themeShade="1A"/>
                <w:sz w:val="22"/>
                <w:szCs w:val="22"/>
              </w:rPr>
              <w:t>naïve</w:t>
            </w:r>
            <w:proofErr w:type="gramEnd"/>
          </w:p>
          <w:p w14:paraId="2C40E825" w14:textId="58AE0007" w:rsidR="00285EDD" w:rsidRDefault="003B2577">
            <w:pPr>
              <w:pStyle w:val="ListParagraph"/>
              <w:numPr>
                <w:ilvl w:val="1"/>
                <w:numId w:val="1"/>
              </w:numPr>
              <w:rPr>
                <w:color w:val="171717" w:themeColor="background2" w:themeShade="1A"/>
                <w:sz w:val="22"/>
                <w:szCs w:val="22"/>
              </w:rPr>
            </w:pPr>
            <w:r w:rsidRPr="003B2577">
              <w:rPr>
                <w:color w:val="171717" w:themeColor="background2" w:themeShade="1A"/>
                <w:sz w:val="22"/>
                <w:szCs w:val="22"/>
              </w:rPr>
              <w:t xml:space="preserve">POETYK PsA-2 included 624 patients with active PsA who were </w:t>
            </w:r>
            <w:proofErr w:type="spellStart"/>
            <w:r w:rsidRPr="003B2577">
              <w:rPr>
                <w:color w:val="171717" w:themeColor="background2" w:themeShade="1A"/>
                <w:sz w:val="22"/>
                <w:szCs w:val="22"/>
              </w:rPr>
              <w:t>bDMARD</w:t>
            </w:r>
            <w:proofErr w:type="spellEnd"/>
            <w:r w:rsidRPr="003B2577">
              <w:rPr>
                <w:color w:val="171717" w:themeColor="background2" w:themeShade="1A"/>
                <w:sz w:val="22"/>
                <w:szCs w:val="22"/>
              </w:rPr>
              <w:t xml:space="preserve"> naïve or had previously received TNFα inhibitor treatment</w:t>
            </w:r>
            <w:r w:rsidR="004C7690">
              <w:rPr>
                <w:color w:val="171717" w:themeColor="background2" w:themeShade="1A"/>
                <w:sz w:val="22"/>
                <w:szCs w:val="22"/>
              </w:rPr>
              <w:t xml:space="preserve">; </w:t>
            </w:r>
            <w:r w:rsidR="00A4687A">
              <w:rPr>
                <w:color w:val="171717" w:themeColor="background2" w:themeShade="1A"/>
                <w:sz w:val="22"/>
                <w:szCs w:val="22"/>
              </w:rPr>
              <w:t xml:space="preserve">the </w:t>
            </w:r>
            <w:r w:rsidR="004C7690">
              <w:rPr>
                <w:color w:val="171717" w:themeColor="background2" w:themeShade="1A"/>
                <w:sz w:val="22"/>
                <w:szCs w:val="22"/>
              </w:rPr>
              <w:t>trial</w:t>
            </w:r>
            <w:r w:rsidR="004C7690" w:rsidRPr="004C7690">
              <w:rPr>
                <w:color w:val="171717" w:themeColor="background2" w:themeShade="1A"/>
                <w:sz w:val="22"/>
                <w:szCs w:val="22"/>
              </w:rPr>
              <w:t xml:space="preserve"> also included an apremilast safety reference arm</w:t>
            </w:r>
          </w:p>
          <w:p w14:paraId="72DAC1E7" w14:textId="28DEE216" w:rsidR="00C83D4E" w:rsidRPr="007564D4" w:rsidRDefault="00C83D4E" w:rsidP="007564D4">
            <w:pPr>
              <w:pStyle w:val="ListParagraph"/>
              <w:numPr>
                <w:ilvl w:val="1"/>
                <w:numId w:val="1"/>
              </w:numPr>
              <w:rPr>
                <w:color w:val="171717" w:themeColor="background2" w:themeShade="1A"/>
                <w:sz w:val="22"/>
                <w:szCs w:val="22"/>
              </w:rPr>
            </w:pPr>
            <w:r>
              <w:rPr>
                <w:color w:val="171717" w:themeColor="background2" w:themeShade="1A"/>
                <w:sz w:val="22"/>
                <w:szCs w:val="22"/>
              </w:rPr>
              <w:t>P</w:t>
            </w:r>
            <w:r w:rsidRPr="00285EDD">
              <w:rPr>
                <w:color w:val="171717" w:themeColor="background2" w:themeShade="1A"/>
                <w:sz w:val="22"/>
                <w:szCs w:val="22"/>
              </w:rPr>
              <w:t>rimary endpoint</w:t>
            </w:r>
            <w:r>
              <w:rPr>
                <w:color w:val="171717" w:themeColor="background2" w:themeShade="1A"/>
                <w:sz w:val="22"/>
                <w:szCs w:val="22"/>
              </w:rPr>
              <w:t xml:space="preserve">: </w:t>
            </w:r>
            <w:r w:rsidRPr="00285EDD">
              <w:rPr>
                <w:color w:val="171717" w:themeColor="background2" w:themeShade="1A"/>
                <w:sz w:val="22"/>
                <w:szCs w:val="22"/>
              </w:rPr>
              <w:t>ACR20 at Week</w:t>
            </w:r>
            <w:r>
              <w:rPr>
                <w:color w:val="171717" w:themeColor="background2" w:themeShade="1A"/>
                <w:sz w:val="22"/>
                <w:szCs w:val="22"/>
              </w:rPr>
              <w:t xml:space="preserve"> </w:t>
            </w:r>
            <w:r w:rsidRPr="00285EDD">
              <w:rPr>
                <w:color w:val="171717" w:themeColor="background2" w:themeShade="1A"/>
                <w:sz w:val="22"/>
                <w:szCs w:val="22"/>
              </w:rPr>
              <w:t xml:space="preserve">16 </w:t>
            </w:r>
          </w:p>
          <w:p w14:paraId="6C6D2710" w14:textId="322D8525" w:rsidR="00285EDD" w:rsidRPr="007564D4" w:rsidRDefault="00285EDD" w:rsidP="007564D4">
            <w:pPr>
              <w:pStyle w:val="ListParagraph"/>
              <w:numPr>
                <w:ilvl w:val="0"/>
                <w:numId w:val="1"/>
              </w:numPr>
              <w:rPr>
                <w:b/>
                <w:bCs/>
                <w:color w:val="171717" w:themeColor="background2" w:themeShade="1A"/>
                <w:sz w:val="22"/>
                <w:szCs w:val="22"/>
              </w:rPr>
            </w:pPr>
            <w:r w:rsidRPr="007564D4">
              <w:rPr>
                <w:b/>
                <w:bCs/>
                <w:color w:val="171717" w:themeColor="background2" w:themeShade="1A"/>
                <w:sz w:val="22"/>
                <w:szCs w:val="22"/>
              </w:rPr>
              <w:t xml:space="preserve">Study Results  </w:t>
            </w:r>
          </w:p>
          <w:p w14:paraId="37DA9E29" w14:textId="2214C485" w:rsidR="006574C6" w:rsidRDefault="006574C6" w:rsidP="007564D4">
            <w:pPr>
              <w:pStyle w:val="ListParagraph"/>
              <w:numPr>
                <w:ilvl w:val="1"/>
                <w:numId w:val="1"/>
              </w:numPr>
              <w:spacing w:after="160" w:line="278" w:lineRule="auto"/>
              <w:rPr>
                <w:color w:val="171717" w:themeColor="background2" w:themeShade="1A"/>
                <w:sz w:val="22"/>
                <w:szCs w:val="22"/>
              </w:rPr>
            </w:pPr>
            <w:r>
              <w:rPr>
                <w:color w:val="171717" w:themeColor="background2" w:themeShade="1A"/>
                <w:sz w:val="22"/>
                <w:szCs w:val="22"/>
              </w:rPr>
              <w:t>Efficacy:</w:t>
            </w:r>
          </w:p>
          <w:p w14:paraId="197550C9" w14:textId="6A50AB5F" w:rsidR="00285EDD" w:rsidRDefault="00285EDD" w:rsidP="006574C6">
            <w:pPr>
              <w:pStyle w:val="ListParagraph"/>
              <w:numPr>
                <w:ilvl w:val="2"/>
                <w:numId w:val="1"/>
              </w:numPr>
              <w:spacing w:after="160" w:line="278" w:lineRule="auto"/>
              <w:rPr>
                <w:color w:val="171717" w:themeColor="background2" w:themeShade="1A"/>
                <w:sz w:val="22"/>
                <w:szCs w:val="22"/>
              </w:rPr>
            </w:pPr>
            <w:r w:rsidRPr="00285EDD">
              <w:rPr>
                <w:color w:val="171717" w:themeColor="background2" w:themeShade="1A"/>
                <w:sz w:val="22"/>
                <w:szCs w:val="22"/>
              </w:rPr>
              <w:t xml:space="preserve">Both </w:t>
            </w:r>
            <w:r w:rsidR="007564D4">
              <w:rPr>
                <w:color w:val="171717" w:themeColor="background2" w:themeShade="1A"/>
                <w:sz w:val="22"/>
                <w:szCs w:val="22"/>
              </w:rPr>
              <w:t>trials</w:t>
            </w:r>
            <w:r w:rsidRPr="00285EDD">
              <w:rPr>
                <w:color w:val="171717" w:themeColor="background2" w:themeShade="1A"/>
                <w:sz w:val="22"/>
                <w:szCs w:val="22"/>
              </w:rPr>
              <w:t xml:space="preserve"> met their primary endpoints, demonstrating sustained improvements across joint pain and swelling as well as psoriatic skin lesions</w:t>
            </w:r>
          </w:p>
          <w:p w14:paraId="467E2D14" w14:textId="619FF3D1" w:rsidR="007564D4" w:rsidRDefault="00D709AA" w:rsidP="00557E6B">
            <w:pPr>
              <w:jc w:val="center"/>
              <w:rPr>
                <w:color w:val="171717" w:themeColor="background2" w:themeShade="1A"/>
                <w:sz w:val="22"/>
                <w:szCs w:val="22"/>
              </w:rPr>
            </w:pPr>
            <w:r w:rsidRPr="00D709AA">
              <w:rPr>
                <w:noProof/>
              </w:rPr>
              <w:drawing>
                <wp:inline distT="0" distB="0" distL="0" distR="0" wp14:anchorId="50597A7B" wp14:editId="2E00E107">
                  <wp:extent cx="4298950" cy="1052232"/>
                  <wp:effectExtent l="0" t="0" r="6350" b="0"/>
                  <wp:docPr id="149980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09254" name=""/>
                          <pic:cNvPicPr/>
                        </pic:nvPicPr>
                        <pic:blipFill>
                          <a:blip r:embed="rId24"/>
                          <a:stretch>
                            <a:fillRect/>
                          </a:stretch>
                        </pic:blipFill>
                        <pic:spPr>
                          <a:xfrm>
                            <a:off x="0" y="0"/>
                            <a:ext cx="4348710" cy="1064411"/>
                          </a:xfrm>
                          <a:prstGeom prst="rect">
                            <a:avLst/>
                          </a:prstGeom>
                        </pic:spPr>
                      </pic:pic>
                    </a:graphicData>
                  </a:graphic>
                </wp:inline>
              </w:drawing>
            </w:r>
          </w:p>
          <w:p w14:paraId="570C1B3D" w14:textId="77777777" w:rsidR="00FC1328" w:rsidRPr="00D709AA" w:rsidRDefault="00FC1328" w:rsidP="00FC1328">
            <w:pPr>
              <w:rPr>
                <w:color w:val="171717" w:themeColor="background2" w:themeShade="1A"/>
                <w:sz w:val="22"/>
                <w:szCs w:val="22"/>
              </w:rPr>
            </w:pPr>
          </w:p>
          <w:p w14:paraId="08CC519B" w14:textId="477A9B68" w:rsidR="002E6873" w:rsidRPr="002E6873" w:rsidRDefault="006574C6" w:rsidP="006574C6">
            <w:pPr>
              <w:pStyle w:val="ListParagraph"/>
              <w:numPr>
                <w:ilvl w:val="1"/>
                <w:numId w:val="1"/>
              </w:numPr>
              <w:spacing w:after="160" w:line="278" w:lineRule="auto"/>
              <w:rPr>
                <w:color w:val="171717" w:themeColor="background2" w:themeShade="1A"/>
                <w:sz w:val="22"/>
                <w:szCs w:val="22"/>
              </w:rPr>
            </w:pPr>
            <w:r>
              <w:rPr>
                <w:color w:val="171717" w:themeColor="background2" w:themeShade="1A"/>
                <w:sz w:val="22"/>
                <w:szCs w:val="22"/>
              </w:rPr>
              <w:t>Safety:</w:t>
            </w:r>
          </w:p>
          <w:p w14:paraId="3F443A27" w14:textId="486CBD9E" w:rsidR="00C501AF" w:rsidRDefault="00C501AF" w:rsidP="006574C6">
            <w:pPr>
              <w:pStyle w:val="ListParagraph"/>
              <w:numPr>
                <w:ilvl w:val="2"/>
                <w:numId w:val="1"/>
              </w:numPr>
              <w:spacing w:after="160" w:line="278" w:lineRule="auto"/>
              <w:rPr>
                <w:color w:val="171717" w:themeColor="background2" w:themeShade="1A"/>
                <w:sz w:val="22"/>
                <w:szCs w:val="22"/>
              </w:rPr>
            </w:pPr>
            <w:r w:rsidRPr="00C501AF">
              <w:rPr>
                <w:color w:val="171717" w:themeColor="background2" w:themeShade="1A"/>
                <w:sz w:val="22"/>
                <w:szCs w:val="22"/>
              </w:rPr>
              <w:t xml:space="preserve">The overall safety profile </w:t>
            </w:r>
            <w:r>
              <w:rPr>
                <w:color w:val="171717" w:themeColor="background2" w:themeShade="1A"/>
                <w:sz w:val="22"/>
                <w:szCs w:val="22"/>
              </w:rPr>
              <w:t>in</w:t>
            </w:r>
            <w:r w:rsidRPr="00C501AF">
              <w:rPr>
                <w:color w:val="171717" w:themeColor="background2" w:themeShade="1A"/>
                <w:sz w:val="22"/>
                <w:szCs w:val="22"/>
              </w:rPr>
              <w:t xml:space="preserve"> active </w:t>
            </w:r>
            <w:r>
              <w:rPr>
                <w:color w:val="171717" w:themeColor="background2" w:themeShade="1A"/>
                <w:sz w:val="22"/>
                <w:szCs w:val="22"/>
              </w:rPr>
              <w:t>PsA</w:t>
            </w:r>
            <w:r w:rsidRPr="00C501AF">
              <w:rPr>
                <w:color w:val="171717" w:themeColor="background2" w:themeShade="1A"/>
                <w:sz w:val="22"/>
                <w:szCs w:val="22"/>
              </w:rPr>
              <w:t xml:space="preserve"> was generally consistent </w:t>
            </w:r>
            <w:r w:rsidR="00B0735C" w:rsidRPr="00B0735C">
              <w:rPr>
                <w:color w:val="171717" w:themeColor="background2" w:themeShade="1A"/>
                <w:sz w:val="22"/>
                <w:szCs w:val="22"/>
              </w:rPr>
              <w:t>with the safety profile previously seen in</w:t>
            </w:r>
            <w:r w:rsidRPr="00C501AF">
              <w:rPr>
                <w:color w:val="171717" w:themeColor="background2" w:themeShade="1A"/>
                <w:sz w:val="22"/>
                <w:szCs w:val="22"/>
              </w:rPr>
              <w:t xml:space="preserve"> </w:t>
            </w:r>
            <w:r>
              <w:rPr>
                <w:color w:val="171717" w:themeColor="background2" w:themeShade="1A"/>
                <w:sz w:val="22"/>
                <w:szCs w:val="22"/>
              </w:rPr>
              <w:t>PsO</w:t>
            </w:r>
          </w:p>
          <w:p w14:paraId="21636979" w14:textId="76E5722F" w:rsidR="002E6873" w:rsidRDefault="00C501AF" w:rsidP="006574C6">
            <w:pPr>
              <w:pStyle w:val="ListParagraph"/>
              <w:numPr>
                <w:ilvl w:val="2"/>
                <w:numId w:val="1"/>
              </w:numPr>
              <w:spacing w:after="160" w:line="278" w:lineRule="auto"/>
              <w:rPr>
                <w:color w:val="171717" w:themeColor="background2" w:themeShade="1A"/>
                <w:sz w:val="22"/>
                <w:szCs w:val="22"/>
              </w:rPr>
            </w:pPr>
            <w:r w:rsidRPr="00C501AF">
              <w:rPr>
                <w:color w:val="171717" w:themeColor="background2" w:themeShade="1A"/>
                <w:sz w:val="22"/>
                <w:szCs w:val="22"/>
              </w:rPr>
              <w:t xml:space="preserve">Most common adverse reactions </w:t>
            </w:r>
            <w:r w:rsidR="0081543F">
              <w:rPr>
                <w:color w:val="171717" w:themeColor="background2" w:themeShade="1A"/>
                <w:sz w:val="22"/>
                <w:szCs w:val="22"/>
              </w:rPr>
              <w:t xml:space="preserve">were </w:t>
            </w:r>
            <w:r w:rsidR="00045430" w:rsidRPr="00045430">
              <w:rPr>
                <w:color w:val="171717" w:themeColor="background2" w:themeShade="1A"/>
                <w:sz w:val="22"/>
                <w:szCs w:val="22"/>
              </w:rPr>
              <w:t>upper respiratory infections, increased blood creatine phosphokinase, herpes simplex, mouth ulcers, folliculitis, and</w:t>
            </w:r>
            <w:r w:rsidRPr="00C501AF">
              <w:rPr>
                <w:color w:val="171717" w:themeColor="background2" w:themeShade="1A"/>
                <w:sz w:val="22"/>
                <w:szCs w:val="22"/>
              </w:rPr>
              <w:t xml:space="preserve"> acne</w:t>
            </w:r>
          </w:p>
          <w:p w14:paraId="35B5A073" w14:textId="24D1148F" w:rsidR="004B7A22" w:rsidRDefault="00AC51DA" w:rsidP="004B7A22">
            <w:pPr>
              <w:pStyle w:val="ListParagraph"/>
              <w:numPr>
                <w:ilvl w:val="1"/>
                <w:numId w:val="1"/>
              </w:numPr>
              <w:spacing w:after="160" w:line="278" w:lineRule="auto"/>
              <w:rPr>
                <w:color w:val="171717" w:themeColor="background2" w:themeShade="1A"/>
                <w:sz w:val="22"/>
                <w:szCs w:val="22"/>
              </w:rPr>
            </w:pPr>
            <w:r>
              <w:rPr>
                <w:color w:val="171717" w:themeColor="background2" w:themeShade="1A"/>
                <w:sz w:val="22"/>
                <w:szCs w:val="22"/>
              </w:rPr>
              <w:t>HR</w:t>
            </w:r>
            <w:r w:rsidR="004B7A22">
              <w:rPr>
                <w:color w:val="171717" w:themeColor="background2" w:themeShade="1A"/>
                <w:sz w:val="22"/>
                <w:szCs w:val="22"/>
              </w:rPr>
              <w:t>QoL:</w:t>
            </w:r>
          </w:p>
          <w:p w14:paraId="4A595E28" w14:textId="77777777" w:rsidR="00F31CCD" w:rsidRDefault="00AC51DA" w:rsidP="004B7A22">
            <w:pPr>
              <w:pStyle w:val="ListParagraph"/>
              <w:numPr>
                <w:ilvl w:val="2"/>
                <w:numId w:val="1"/>
              </w:numPr>
              <w:spacing w:after="160" w:line="278" w:lineRule="auto"/>
              <w:rPr>
                <w:color w:val="171717" w:themeColor="background2" w:themeShade="1A"/>
                <w:sz w:val="22"/>
                <w:szCs w:val="22"/>
              </w:rPr>
            </w:pPr>
            <w:r>
              <w:rPr>
                <w:color w:val="171717" w:themeColor="background2" w:themeShade="1A"/>
                <w:sz w:val="22"/>
                <w:szCs w:val="22"/>
              </w:rPr>
              <w:t>I</w:t>
            </w:r>
            <w:r w:rsidRPr="00AC51DA">
              <w:rPr>
                <w:color w:val="171717" w:themeColor="background2" w:themeShade="1A"/>
                <w:sz w:val="22"/>
                <w:szCs w:val="22"/>
              </w:rPr>
              <w:t xml:space="preserve">mprovements </w:t>
            </w:r>
            <w:r>
              <w:rPr>
                <w:color w:val="171717" w:themeColor="background2" w:themeShade="1A"/>
                <w:sz w:val="22"/>
                <w:szCs w:val="22"/>
              </w:rPr>
              <w:t xml:space="preserve">were seen </w:t>
            </w:r>
            <w:r w:rsidRPr="00AC51DA">
              <w:rPr>
                <w:color w:val="171717" w:themeColor="background2" w:themeShade="1A"/>
                <w:sz w:val="22"/>
                <w:szCs w:val="22"/>
              </w:rPr>
              <w:t>in SF-36 PCS score at Week 16 compared to placebo (key secondary endpoint)</w:t>
            </w:r>
          </w:p>
          <w:p w14:paraId="3EF5FA34" w14:textId="71F7B6BC" w:rsidR="004B7A22" w:rsidRDefault="00C814B4" w:rsidP="004B7A22">
            <w:pPr>
              <w:pStyle w:val="ListParagraph"/>
              <w:numPr>
                <w:ilvl w:val="2"/>
                <w:numId w:val="1"/>
              </w:numPr>
              <w:spacing w:after="160" w:line="278" w:lineRule="auto"/>
              <w:rPr>
                <w:color w:val="171717" w:themeColor="background2" w:themeShade="1A"/>
                <w:sz w:val="22"/>
                <w:szCs w:val="22"/>
              </w:rPr>
            </w:pPr>
            <w:r>
              <w:rPr>
                <w:color w:val="171717" w:themeColor="background2" w:themeShade="1A"/>
                <w:sz w:val="22"/>
                <w:szCs w:val="22"/>
              </w:rPr>
              <w:t>I</w:t>
            </w:r>
            <w:r w:rsidR="00AC51DA" w:rsidRPr="00AC51DA">
              <w:rPr>
                <w:color w:val="171717" w:themeColor="background2" w:themeShade="1A"/>
                <w:sz w:val="22"/>
                <w:szCs w:val="22"/>
              </w:rPr>
              <w:t xml:space="preserve">mprovements </w:t>
            </w:r>
            <w:r w:rsidRPr="00C814B4">
              <w:rPr>
                <w:color w:val="171717" w:themeColor="background2" w:themeShade="1A"/>
                <w:sz w:val="22"/>
                <w:szCs w:val="22"/>
              </w:rPr>
              <w:t>were also reported across all four SF-36 PCS domain scale scores: physical functioning, role-physical, bodily pain, and general</w:t>
            </w:r>
            <w:r w:rsidR="00AC51DA" w:rsidRPr="00AC51DA">
              <w:rPr>
                <w:color w:val="171717" w:themeColor="background2" w:themeShade="1A"/>
                <w:sz w:val="22"/>
                <w:szCs w:val="22"/>
              </w:rPr>
              <w:t xml:space="preserve"> health</w:t>
            </w:r>
          </w:p>
          <w:p w14:paraId="78577B08" w14:textId="32349E7B" w:rsidR="00F31CCD" w:rsidRPr="00111506" w:rsidRDefault="00111506" w:rsidP="00111506">
            <w:pPr>
              <w:pStyle w:val="ListParagraph"/>
              <w:numPr>
                <w:ilvl w:val="0"/>
                <w:numId w:val="1"/>
              </w:numPr>
              <w:spacing w:after="160" w:line="278" w:lineRule="auto"/>
              <w:rPr>
                <w:b/>
                <w:bCs/>
                <w:color w:val="171717" w:themeColor="background2" w:themeShade="1A"/>
                <w:sz w:val="22"/>
                <w:szCs w:val="22"/>
              </w:rPr>
            </w:pPr>
            <w:r w:rsidRPr="00111506">
              <w:rPr>
                <w:b/>
                <w:bCs/>
                <w:color w:val="171717" w:themeColor="background2" w:themeShade="1A"/>
                <w:sz w:val="22"/>
                <w:szCs w:val="22"/>
              </w:rPr>
              <w:t>Outlook:</w:t>
            </w:r>
          </w:p>
          <w:p w14:paraId="489F36B8" w14:textId="3BE7DCE6" w:rsidR="00111506" w:rsidRPr="00111506" w:rsidRDefault="00EE1BA3" w:rsidP="00111506">
            <w:pPr>
              <w:pStyle w:val="ListParagraph"/>
              <w:numPr>
                <w:ilvl w:val="1"/>
                <w:numId w:val="1"/>
              </w:numPr>
              <w:rPr>
                <w:color w:val="171717" w:themeColor="background2" w:themeShade="1A"/>
                <w:sz w:val="22"/>
                <w:szCs w:val="22"/>
              </w:rPr>
            </w:pPr>
            <w:r>
              <w:rPr>
                <w:color w:val="171717" w:themeColor="background2" w:themeShade="1A"/>
                <w:sz w:val="22"/>
                <w:szCs w:val="22"/>
              </w:rPr>
              <w:t xml:space="preserve">Regulatory applications for </w:t>
            </w:r>
            <w:r w:rsidR="00111506" w:rsidRPr="00111506">
              <w:rPr>
                <w:color w:val="171717" w:themeColor="background2" w:themeShade="1A"/>
                <w:sz w:val="22"/>
                <w:szCs w:val="22"/>
              </w:rPr>
              <w:t>Sotyktu</w:t>
            </w:r>
            <w:r>
              <w:rPr>
                <w:color w:val="171717" w:themeColor="background2" w:themeShade="1A"/>
                <w:sz w:val="22"/>
                <w:szCs w:val="22"/>
              </w:rPr>
              <w:t xml:space="preserve"> are </w:t>
            </w:r>
            <w:hyperlink r:id="rId25" w:history="1">
              <w:r w:rsidRPr="00BE424F">
                <w:rPr>
                  <w:rStyle w:val="Hyperlink"/>
                  <w:color w:val="0070C0"/>
                  <w:sz w:val="22"/>
                  <w:szCs w:val="22"/>
                </w:rPr>
                <w:t>under review</w:t>
              </w:r>
            </w:hyperlink>
            <w:r w:rsidR="00111506" w:rsidRPr="00111506">
              <w:rPr>
                <w:color w:val="171717" w:themeColor="background2" w:themeShade="1A"/>
                <w:sz w:val="22"/>
                <w:szCs w:val="22"/>
              </w:rPr>
              <w:t xml:space="preserve"> </w:t>
            </w:r>
            <w:r w:rsidR="006B1215">
              <w:rPr>
                <w:color w:val="171717" w:themeColor="background2" w:themeShade="1A"/>
                <w:sz w:val="22"/>
                <w:szCs w:val="22"/>
              </w:rPr>
              <w:t>in the</w:t>
            </w:r>
            <w:r w:rsidR="00111506" w:rsidRPr="00111506">
              <w:rPr>
                <w:color w:val="171717" w:themeColor="background2" w:themeShade="1A"/>
                <w:sz w:val="22"/>
                <w:szCs w:val="22"/>
              </w:rPr>
              <w:t xml:space="preserve"> EU, Japan </w:t>
            </w:r>
            <w:r w:rsidR="006B1215">
              <w:rPr>
                <w:color w:val="171717" w:themeColor="background2" w:themeShade="1A"/>
                <w:sz w:val="22"/>
                <w:szCs w:val="22"/>
              </w:rPr>
              <w:t>and China</w:t>
            </w:r>
          </w:p>
          <w:p w14:paraId="1F0318EC" w14:textId="2DF1F8E9" w:rsidR="00111506" w:rsidRPr="009747D8" w:rsidRDefault="00111506" w:rsidP="009747D8">
            <w:pPr>
              <w:pStyle w:val="ListParagraph"/>
              <w:numPr>
                <w:ilvl w:val="2"/>
                <w:numId w:val="1"/>
              </w:numPr>
              <w:rPr>
                <w:i/>
                <w:iCs/>
                <w:color w:val="0070C0"/>
                <w:sz w:val="22"/>
                <w:szCs w:val="22"/>
              </w:rPr>
            </w:pPr>
            <w:r w:rsidRPr="009747D8">
              <w:rPr>
                <w:i/>
                <w:iCs/>
                <w:color w:val="0070C0"/>
                <w:sz w:val="22"/>
                <w:szCs w:val="22"/>
              </w:rPr>
              <w:t xml:space="preserve">CI anticipates earliest EU approval in Q2 2026, assuming a positive CHMP opinion in the coming months and a standard ~67-day EC decision; </w:t>
            </w:r>
            <w:r w:rsidR="003857E5">
              <w:rPr>
                <w:i/>
                <w:iCs/>
                <w:color w:val="0070C0"/>
                <w:sz w:val="22"/>
                <w:szCs w:val="22"/>
              </w:rPr>
              <w:t xml:space="preserve">despite inclusion in CHMP agenda in January, </w:t>
            </w:r>
            <w:r w:rsidRPr="009747D8">
              <w:rPr>
                <w:i/>
                <w:iCs/>
                <w:color w:val="0070C0"/>
                <w:sz w:val="22"/>
                <w:szCs w:val="22"/>
              </w:rPr>
              <w:t xml:space="preserve">no </w:t>
            </w:r>
            <w:r w:rsidR="00C50906">
              <w:rPr>
                <w:i/>
                <w:iCs/>
                <w:color w:val="0070C0"/>
                <w:sz w:val="22"/>
                <w:szCs w:val="22"/>
              </w:rPr>
              <w:t>mention of Sotyktu</w:t>
            </w:r>
            <w:r w:rsidRPr="009747D8">
              <w:rPr>
                <w:i/>
                <w:iCs/>
                <w:color w:val="0070C0"/>
                <w:sz w:val="22"/>
                <w:szCs w:val="22"/>
              </w:rPr>
              <w:t xml:space="preserve"> </w:t>
            </w:r>
            <w:r w:rsidR="00ED274D">
              <w:rPr>
                <w:i/>
                <w:iCs/>
                <w:color w:val="0070C0"/>
                <w:sz w:val="22"/>
                <w:szCs w:val="22"/>
              </w:rPr>
              <w:t>occur</w:t>
            </w:r>
            <w:r w:rsidR="00736472">
              <w:rPr>
                <w:i/>
                <w:iCs/>
                <w:color w:val="0070C0"/>
                <w:sz w:val="22"/>
                <w:szCs w:val="22"/>
              </w:rPr>
              <w:t>r</w:t>
            </w:r>
            <w:r w:rsidR="00ED274D">
              <w:rPr>
                <w:i/>
                <w:iCs/>
                <w:color w:val="0070C0"/>
                <w:sz w:val="22"/>
                <w:szCs w:val="22"/>
              </w:rPr>
              <w:t>ed</w:t>
            </w:r>
            <w:r w:rsidRPr="009747D8">
              <w:rPr>
                <w:i/>
                <w:iCs/>
                <w:color w:val="0070C0"/>
                <w:sz w:val="22"/>
                <w:szCs w:val="22"/>
              </w:rPr>
              <w:t xml:space="preserve"> in the January or February 2026 meeting materials </w:t>
            </w:r>
          </w:p>
          <w:p w14:paraId="54DFD4AC" w14:textId="6BEF600B" w:rsidR="00111506" w:rsidRPr="009747D8" w:rsidRDefault="00111506" w:rsidP="009747D8">
            <w:pPr>
              <w:pStyle w:val="ListParagraph"/>
              <w:numPr>
                <w:ilvl w:val="2"/>
                <w:numId w:val="1"/>
              </w:numPr>
              <w:rPr>
                <w:i/>
                <w:iCs/>
                <w:color w:val="0070C0"/>
                <w:sz w:val="22"/>
                <w:szCs w:val="22"/>
              </w:rPr>
            </w:pPr>
            <w:r w:rsidRPr="009747D8">
              <w:rPr>
                <w:i/>
                <w:iCs/>
                <w:color w:val="0070C0"/>
                <w:sz w:val="22"/>
                <w:szCs w:val="22"/>
              </w:rPr>
              <w:t>CI anticipates Japan and China approval in Q3 and Q4 2026</w:t>
            </w:r>
            <w:r w:rsidR="009747D8">
              <w:rPr>
                <w:i/>
                <w:iCs/>
                <w:color w:val="0070C0"/>
                <w:sz w:val="22"/>
                <w:szCs w:val="22"/>
              </w:rPr>
              <w:t>,</w:t>
            </w:r>
            <w:r w:rsidRPr="009747D8">
              <w:rPr>
                <w:i/>
                <w:iCs/>
                <w:color w:val="0070C0"/>
                <w:sz w:val="22"/>
                <w:szCs w:val="22"/>
              </w:rPr>
              <w:t xml:space="preserve"> respectively </w:t>
            </w:r>
          </w:p>
          <w:p w14:paraId="4675AF8B" w14:textId="6CBD47CB" w:rsidR="00111506" w:rsidRPr="000A2292" w:rsidRDefault="00111506" w:rsidP="00BA1D73">
            <w:pPr>
              <w:pStyle w:val="ListParagraph"/>
              <w:numPr>
                <w:ilvl w:val="1"/>
                <w:numId w:val="1"/>
              </w:numPr>
              <w:rPr>
                <w:i/>
                <w:color w:val="0070C0"/>
                <w:sz w:val="22"/>
                <w:szCs w:val="22"/>
              </w:rPr>
            </w:pPr>
            <w:r w:rsidRPr="003B6454">
              <w:rPr>
                <w:b/>
                <w:bCs/>
                <w:color w:val="171717" w:themeColor="background2" w:themeShade="1A"/>
                <w:sz w:val="22"/>
                <w:szCs w:val="22"/>
              </w:rPr>
              <w:t>Pediatric PsA</w:t>
            </w:r>
            <w:r w:rsidRPr="00111506">
              <w:rPr>
                <w:color w:val="171717" w:themeColor="background2" w:themeShade="1A"/>
                <w:sz w:val="22"/>
                <w:szCs w:val="22"/>
              </w:rPr>
              <w:t xml:space="preserve">: </w:t>
            </w:r>
            <w:hyperlink r:id="rId26" w:history="1">
              <w:r w:rsidRPr="003B6454">
                <w:rPr>
                  <w:rStyle w:val="Hyperlink"/>
                  <w:color w:val="0070C0"/>
                  <w:sz w:val="22"/>
                  <w:szCs w:val="22"/>
                </w:rPr>
                <w:t>Phase 3</w:t>
              </w:r>
            </w:hyperlink>
            <w:r w:rsidRPr="00111506">
              <w:rPr>
                <w:color w:val="171717" w:themeColor="background2" w:themeShade="1A"/>
                <w:sz w:val="22"/>
                <w:szCs w:val="22"/>
              </w:rPr>
              <w:t xml:space="preserve"> study ongoing; PCD: March 2030</w:t>
            </w:r>
            <w:r w:rsidR="00FB62A7">
              <w:rPr>
                <w:color w:val="171717" w:themeColor="background2" w:themeShade="1A"/>
                <w:sz w:val="22"/>
                <w:szCs w:val="22"/>
              </w:rPr>
              <w:t xml:space="preserve">; </w:t>
            </w:r>
            <w:r w:rsidRPr="000A2292">
              <w:rPr>
                <w:i/>
                <w:color w:val="0070C0"/>
                <w:sz w:val="22"/>
                <w:szCs w:val="22"/>
              </w:rPr>
              <w:t>CI anticipates earliest US/EU approval in Q2 20</w:t>
            </w:r>
            <w:r w:rsidR="00CD382F" w:rsidRPr="000A2292">
              <w:rPr>
                <w:i/>
                <w:color w:val="0070C0"/>
                <w:sz w:val="22"/>
                <w:szCs w:val="22"/>
              </w:rPr>
              <w:t>31</w:t>
            </w:r>
            <w:r w:rsidRPr="000A2292">
              <w:rPr>
                <w:i/>
                <w:color w:val="0070C0"/>
                <w:sz w:val="22"/>
                <w:szCs w:val="22"/>
              </w:rPr>
              <w:t xml:space="preserve"> </w:t>
            </w:r>
            <w:r w:rsidR="003B6454" w:rsidRPr="000A2292">
              <w:rPr>
                <w:i/>
                <w:color w:val="0070C0"/>
                <w:sz w:val="22"/>
                <w:szCs w:val="22"/>
              </w:rPr>
              <w:t>(</w:t>
            </w:r>
            <w:r w:rsidRPr="000A2292">
              <w:rPr>
                <w:i/>
                <w:color w:val="0070C0"/>
                <w:sz w:val="22"/>
                <w:szCs w:val="22"/>
              </w:rPr>
              <w:t>supplemental</w:t>
            </w:r>
            <w:r w:rsidR="003B6454" w:rsidRPr="000A2292">
              <w:rPr>
                <w:i/>
                <w:color w:val="0070C0"/>
                <w:sz w:val="22"/>
                <w:szCs w:val="22"/>
              </w:rPr>
              <w:t xml:space="preserve"> review)</w:t>
            </w:r>
            <w:r w:rsidRPr="000A2292">
              <w:rPr>
                <w:i/>
                <w:color w:val="0070C0"/>
                <w:sz w:val="22"/>
                <w:szCs w:val="22"/>
              </w:rPr>
              <w:t xml:space="preserve"> </w:t>
            </w:r>
          </w:p>
          <w:p w14:paraId="3CDD053E" w14:textId="0D885360" w:rsidR="00111506" w:rsidRPr="000A2292" w:rsidRDefault="00111506" w:rsidP="00BA1D73">
            <w:pPr>
              <w:pStyle w:val="ListParagraph"/>
              <w:numPr>
                <w:ilvl w:val="1"/>
                <w:numId w:val="1"/>
              </w:numPr>
              <w:rPr>
                <w:i/>
                <w:color w:val="0070C0"/>
                <w:sz w:val="22"/>
                <w:szCs w:val="22"/>
              </w:rPr>
            </w:pPr>
            <w:r w:rsidRPr="003B6454">
              <w:rPr>
                <w:b/>
                <w:bCs/>
                <w:color w:val="171717" w:themeColor="background2" w:themeShade="1A"/>
                <w:sz w:val="22"/>
                <w:szCs w:val="22"/>
              </w:rPr>
              <w:t>SLE:</w:t>
            </w:r>
            <w:r w:rsidRPr="00111506">
              <w:rPr>
                <w:color w:val="171717" w:themeColor="background2" w:themeShade="1A"/>
                <w:sz w:val="22"/>
                <w:szCs w:val="22"/>
              </w:rPr>
              <w:t xml:space="preserve"> Phase 3 </w:t>
            </w:r>
            <w:hyperlink r:id="rId27" w:history="1">
              <w:r w:rsidRPr="00026007">
                <w:rPr>
                  <w:rStyle w:val="Hyperlink"/>
                  <w:color w:val="0070C0"/>
                  <w:sz w:val="22"/>
                  <w:szCs w:val="22"/>
                </w:rPr>
                <w:t>POETYK-SLE-1</w:t>
              </w:r>
            </w:hyperlink>
            <w:r w:rsidRPr="00111506">
              <w:rPr>
                <w:color w:val="171717" w:themeColor="background2" w:themeShade="1A"/>
                <w:sz w:val="22"/>
                <w:szCs w:val="22"/>
              </w:rPr>
              <w:t xml:space="preserve"> &amp; </w:t>
            </w:r>
            <w:hyperlink r:id="rId28" w:history="1">
              <w:r w:rsidRPr="00026007">
                <w:rPr>
                  <w:rStyle w:val="Hyperlink"/>
                  <w:color w:val="0070C0"/>
                  <w:sz w:val="22"/>
                  <w:szCs w:val="22"/>
                </w:rPr>
                <w:t>POETYK-SLE-2</w:t>
              </w:r>
            </w:hyperlink>
            <w:r w:rsidRPr="00111506">
              <w:rPr>
                <w:color w:val="171717" w:themeColor="background2" w:themeShade="1A"/>
                <w:sz w:val="22"/>
                <w:szCs w:val="22"/>
              </w:rPr>
              <w:t xml:space="preserve"> ongoing, with data expected in 2026; PCDs: October 2026</w:t>
            </w:r>
            <w:r w:rsidR="00FB62A7">
              <w:rPr>
                <w:color w:val="171717" w:themeColor="background2" w:themeShade="1A"/>
                <w:sz w:val="22"/>
                <w:szCs w:val="22"/>
              </w:rPr>
              <w:t xml:space="preserve">; </w:t>
            </w:r>
            <w:r w:rsidRPr="000A2292">
              <w:rPr>
                <w:i/>
                <w:color w:val="0070C0"/>
                <w:sz w:val="22"/>
                <w:szCs w:val="22"/>
              </w:rPr>
              <w:t xml:space="preserve">CI anticipates earliest US approval in Q4 2027  </w:t>
            </w:r>
          </w:p>
          <w:p w14:paraId="6F63F22F" w14:textId="5EF65500" w:rsidR="002E6873" w:rsidRPr="00CC3545" w:rsidRDefault="00111506" w:rsidP="002E6873">
            <w:pPr>
              <w:pStyle w:val="ListParagraph"/>
              <w:numPr>
                <w:ilvl w:val="1"/>
                <w:numId w:val="1"/>
              </w:numPr>
              <w:rPr>
                <w:color w:val="171717" w:themeColor="background2" w:themeShade="1A"/>
                <w:sz w:val="22"/>
                <w:szCs w:val="22"/>
              </w:rPr>
            </w:pPr>
            <w:r w:rsidRPr="00026007">
              <w:rPr>
                <w:b/>
                <w:bCs/>
                <w:color w:val="171717" w:themeColor="background2" w:themeShade="1A"/>
                <w:sz w:val="22"/>
                <w:szCs w:val="22"/>
              </w:rPr>
              <w:t>SjD:</w:t>
            </w:r>
            <w:r w:rsidRPr="00111506">
              <w:rPr>
                <w:color w:val="171717" w:themeColor="background2" w:themeShade="1A"/>
                <w:sz w:val="22"/>
                <w:szCs w:val="22"/>
              </w:rPr>
              <w:t xml:space="preserve"> Phase 3 </w:t>
            </w:r>
            <w:hyperlink r:id="rId29" w:history="1">
              <w:r w:rsidRPr="00CC3545">
                <w:rPr>
                  <w:rStyle w:val="Hyperlink"/>
                  <w:color w:val="0070C0"/>
                  <w:sz w:val="22"/>
                  <w:szCs w:val="22"/>
                </w:rPr>
                <w:t>POETYK-SjS-1</w:t>
              </w:r>
            </w:hyperlink>
            <w:r w:rsidRPr="00111506">
              <w:rPr>
                <w:color w:val="171717" w:themeColor="background2" w:themeShade="1A"/>
                <w:sz w:val="22"/>
                <w:szCs w:val="22"/>
              </w:rPr>
              <w:t xml:space="preserve"> ongoing, with data expected in 2027; PCD: November 2026 </w:t>
            </w:r>
          </w:p>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30">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31"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32">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33">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34">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35">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36">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37">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38">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41F3370F" w:rsidR="00B66789" w:rsidRPr="003F7618" w:rsidRDefault="49B6F980" w:rsidP="002E6873">
            <w:pPr>
              <w:rPr>
                <w:i/>
                <w:iCs/>
                <w:color w:val="002060"/>
                <w:sz w:val="20"/>
                <w:szCs w:val="20"/>
              </w:rPr>
            </w:pPr>
            <w:r w:rsidRPr="15119807">
              <w:rPr>
                <w:i/>
                <w:iCs/>
                <w:color w:val="171717" w:themeColor="background2" w:themeShade="1A"/>
                <w:sz w:val="20"/>
                <w:szCs w:val="20"/>
              </w:rPr>
              <w:t xml:space="preserve"> This document contains competitive intelligence collected via AbbVie approved methods or vendors. We collect competitive intelligence consistent with industry standards and AbbVie policy. Not for commercial field use. Please reach out to CI, Legal or OEC with any questions</w:t>
            </w:r>
            <w:r w:rsidR="006A6CD3" w:rsidRPr="001972A4">
              <w:rPr>
                <w:i/>
                <w:iCs/>
                <w:color w:val="171717" w:themeColor="background2" w:themeShade="1A"/>
                <w:sz w:val="20"/>
                <w:szCs w:val="20"/>
              </w:rPr>
              <w:t>.</w:t>
            </w: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1"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num w:numId="1" w16cid:durableId="366764156">
    <w:abstractNumId w:val="1"/>
  </w:num>
  <w:num w:numId="2" w16cid:durableId="1425108719">
    <w:abstractNumId w:val="2"/>
  </w:num>
  <w:num w:numId="3" w16cid:durableId="125594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4E12"/>
    <w:rsid w:val="0001316C"/>
    <w:rsid w:val="0001479E"/>
    <w:rsid w:val="00014914"/>
    <w:rsid w:val="00016DD8"/>
    <w:rsid w:val="00017A79"/>
    <w:rsid w:val="000211A9"/>
    <w:rsid w:val="0002495E"/>
    <w:rsid w:val="00026007"/>
    <w:rsid w:val="0003178B"/>
    <w:rsid w:val="0004082D"/>
    <w:rsid w:val="00042014"/>
    <w:rsid w:val="0004285C"/>
    <w:rsid w:val="00045209"/>
    <w:rsid w:val="00045430"/>
    <w:rsid w:val="000543DA"/>
    <w:rsid w:val="000549A7"/>
    <w:rsid w:val="00056017"/>
    <w:rsid w:val="000616E5"/>
    <w:rsid w:val="0006582B"/>
    <w:rsid w:val="0006596C"/>
    <w:rsid w:val="00073351"/>
    <w:rsid w:val="00076EED"/>
    <w:rsid w:val="00084D6E"/>
    <w:rsid w:val="00085C32"/>
    <w:rsid w:val="00091FB5"/>
    <w:rsid w:val="000922FD"/>
    <w:rsid w:val="00096CC7"/>
    <w:rsid w:val="000A2292"/>
    <w:rsid w:val="000B12D6"/>
    <w:rsid w:val="000B4237"/>
    <w:rsid w:val="000C111C"/>
    <w:rsid w:val="000C2191"/>
    <w:rsid w:val="000C32A1"/>
    <w:rsid w:val="000C6831"/>
    <w:rsid w:val="000D0958"/>
    <w:rsid w:val="000D4626"/>
    <w:rsid w:val="000D69AF"/>
    <w:rsid w:val="000E3AF8"/>
    <w:rsid w:val="000E54AA"/>
    <w:rsid w:val="000F25EA"/>
    <w:rsid w:val="00100AB7"/>
    <w:rsid w:val="001047ED"/>
    <w:rsid w:val="00105672"/>
    <w:rsid w:val="00106923"/>
    <w:rsid w:val="00111506"/>
    <w:rsid w:val="00116001"/>
    <w:rsid w:val="00127A89"/>
    <w:rsid w:val="00134A40"/>
    <w:rsid w:val="00135759"/>
    <w:rsid w:val="00137C96"/>
    <w:rsid w:val="00153503"/>
    <w:rsid w:val="00153A2F"/>
    <w:rsid w:val="00153C54"/>
    <w:rsid w:val="0015560E"/>
    <w:rsid w:val="001568D0"/>
    <w:rsid w:val="001572B1"/>
    <w:rsid w:val="00163D4E"/>
    <w:rsid w:val="00171117"/>
    <w:rsid w:val="001711E5"/>
    <w:rsid w:val="00176F09"/>
    <w:rsid w:val="00177647"/>
    <w:rsid w:val="001801A8"/>
    <w:rsid w:val="0018070B"/>
    <w:rsid w:val="00181ACA"/>
    <w:rsid w:val="00184E74"/>
    <w:rsid w:val="00185947"/>
    <w:rsid w:val="001927F8"/>
    <w:rsid w:val="001972A4"/>
    <w:rsid w:val="001B27F1"/>
    <w:rsid w:val="001B2AC6"/>
    <w:rsid w:val="001B34F5"/>
    <w:rsid w:val="001B5DED"/>
    <w:rsid w:val="001B65D7"/>
    <w:rsid w:val="001C0070"/>
    <w:rsid w:val="001C26C2"/>
    <w:rsid w:val="001C4671"/>
    <w:rsid w:val="001D4757"/>
    <w:rsid w:val="001F11E8"/>
    <w:rsid w:val="001F128F"/>
    <w:rsid w:val="001F4285"/>
    <w:rsid w:val="001F6894"/>
    <w:rsid w:val="001F701F"/>
    <w:rsid w:val="001F7812"/>
    <w:rsid w:val="00211022"/>
    <w:rsid w:val="002158F1"/>
    <w:rsid w:val="00224ACE"/>
    <w:rsid w:val="00225F6D"/>
    <w:rsid w:val="00232055"/>
    <w:rsid w:val="00245EB5"/>
    <w:rsid w:val="002517F5"/>
    <w:rsid w:val="00251B91"/>
    <w:rsid w:val="00276919"/>
    <w:rsid w:val="00282759"/>
    <w:rsid w:val="00285EDD"/>
    <w:rsid w:val="00291349"/>
    <w:rsid w:val="002939E1"/>
    <w:rsid w:val="00296710"/>
    <w:rsid w:val="00296DAA"/>
    <w:rsid w:val="0029769F"/>
    <w:rsid w:val="00297841"/>
    <w:rsid w:val="002A0645"/>
    <w:rsid w:val="002A5175"/>
    <w:rsid w:val="002A7E5B"/>
    <w:rsid w:val="002B3157"/>
    <w:rsid w:val="002B347F"/>
    <w:rsid w:val="002B4335"/>
    <w:rsid w:val="002D54A6"/>
    <w:rsid w:val="002D5992"/>
    <w:rsid w:val="002D5EB6"/>
    <w:rsid w:val="002D62D3"/>
    <w:rsid w:val="002E1076"/>
    <w:rsid w:val="002E27C3"/>
    <w:rsid w:val="002E6459"/>
    <w:rsid w:val="002E6873"/>
    <w:rsid w:val="002F1872"/>
    <w:rsid w:val="002F4B0C"/>
    <w:rsid w:val="002F5242"/>
    <w:rsid w:val="00300C99"/>
    <w:rsid w:val="00306793"/>
    <w:rsid w:val="00321BC0"/>
    <w:rsid w:val="00322C89"/>
    <w:rsid w:val="00330177"/>
    <w:rsid w:val="00330C21"/>
    <w:rsid w:val="00331521"/>
    <w:rsid w:val="0033198B"/>
    <w:rsid w:val="00337BBB"/>
    <w:rsid w:val="003539B0"/>
    <w:rsid w:val="00354AF6"/>
    <w:rsid w:val="003609A5"/>
    <w:rsid w:val="0036234E"/>
    <w:rsid w:val="00364930"/>
    <w:rsid w:val="00364BAD"/>
    <w:rsid w:val="00370D95"/>
    <w:rsid w:val="00373CB5"/>
    <w:rsid w:val="00377322"/>
    <w:rsid w:val="00380199"/>
    <w:rsid w:val="00381490"/>
    <w:rsid w:val="00382EEC"/>
    <w:rsid w:val="00383D33"/>
    <w:rsid w:val="003852D3"/>
    <w:rsid w:val="003857E5"/>
    <w:rsid w:val="00393DEF"/>
    <w:rsid w:val="0039619A"/>
    <w:rsid w:val="003965D6"/>
    <w:rsid w:val="003976CE"/>
    <w:rsid w:val="003A3E55"/>
    <w:rsid w:val="003B227F"/>
    <w:rsid w:val="003B2577"/>
    <w:rsid w:val="003B322E"/>
    <w:rsid w:val="003B350E"/>
    <w:rsid w:val="003B4B84"/>
    <w:rsid w:val="003B6454"/>
    <w:rsid w:val="003B7CAE"/>
    <w:rsid w:val="003C1CAB"/>
    <w:rsid w:val="003C5970"/>
    <w:rsid w:val="003C6402"/>
    <w:rsid w:val="003D16BC"/>
    <w:rsid w:val="003E0539"/>
    <w:rsid w:val="003E1AED"/>
    <w:rsid w:val="003E1D56"/>
    <w:rsid w:val="003E65AD"/>
    <w:rsid w:val="003E706F"/>
    <w:rsid w:val="003F247B"/>
    <w:rsid w:val="003F3659"/>
    <w:rsid w:val="003F368A"/>
    <w:rsid w:val="003F59C7"/>
    <w:rsid w:val="003F7618"/>
    <w:rsid w:val="00406ED3"/>
    <w:rsid w:val="00407856"/>
    <w:rsid w:val="00407D39"/>
    <w:rsid w:val="004122D7"/>
    <w:rsid w:val="00414ADB"/>
    <w:rsid w:val="00414DA5"/>
    <w:rsid w:val="00424CF5"/>
    <w:rsid w:val="004260EE"/>
    <w:rsid w:val="0042758B"/>
    <w:rsid w:val="0043533D"/>
    <w:rsid w:val="00443A28"/>
    <w:rsid w:val="004526BF"/>
    <w:rsid w:val="004579EB"/>
    <w:rsid w:val="00462740"/>
    <w:rsid w:val="00466C1F"/>
    <w:rsid w:val="0047422B"/>
    <w:rsid w:val="004752D3"/>
    <w:rsid w:val="0048347F"/>
    <w:rsid w:val="00483BA9"/>
    <w:rsid w:val="00491B8C"/>
    <w:rsid w:val="00496C2F"/>
    <w:rsid w:val="004A4550"/>
    <w:rsid w:val="004A5B3C"/>
    <w:rsid w:val="004A7381"/>
    <w:rsid w:val="004B75B8"/>
    <w:rsid w:val="004B7A22"/>
    <w:rsid w:val="004C2524"/>
    <w:rsid w:val="004C360C"/>
    <w:rsid w:val="004C3980"/>
    <w:rsid w:val="004C7690"/>
    <w:rsid w:val="004C79E3"/>
    <w:rsid w:val="004D1C32"/>
    <w:rsid w:val="004D5329"/>
    <w:rsid w:val="004D7695"/>
    <w:rsid w:val="004E014F"/>
    <w:rsid w:val="004E1C6A"/>
    <w:rsid w:val="004E451B"/>
    <w:rsid w:val="004E4D70"/>
    <w:rsid w:val="004E5A91"/>
    <w:rsid w:val="004E5D91"/>
    <w:rsid w:val="004E68B0"/>
    <w:rsid w:val="004F19F0"/>
    <w:rsid w:val="00502A19"/>
    <w:rsid w:val="005042B2"/>
    <w:rsid w:val="00517C88"/>
    <w:rsid w:val="00531B30"/>
    <w:rsid w:val="005416D3"/>
    <w:rsid w:val="00553CF3"/>
    <w:rsid w:val="00553EC8"/>
    <w:rsid w:val="005565E5"/>
    <w:rsid w:val="005576A3"/>
    <w:rsid w:val="00557E6B"/>
    <w:rsid w:val="0056100F"/>
    <w:rsid w:val="0056625E"/>
    <w:rsid w:val="00576759"/>
    <w:rsid w:val="00586BA1"/>
    <w:rsid w:val="00590E31"/>
    <w:rsid w:val="00594E4C"/>
    <w:rsid w:val="00596A51"/>
    <w:rsid w:val="005A7A6F"/>
    <w:rsid w:val="005B05C9"/>
    <w:rsid w:val="005C0231"/>
    <w:rsid w:val="005C0ACC"/>
    <w:rsid w:val="005C79E7"/>
    <w:rsid w:val="005D2117"/>
    <w:rsid w:val="005D28DA"/>
    <w:rsid w:val="005E1A87"/>
    <w:rsid w:val="005E1EF6"/>
    <w:rsid w:val="005F032B"/>
    <w:rsid w:val="005F0C5C"/>
    <w:rsid w:val="005F2160"/>
    <w:rsid w:val="005F6E54"/>
    <w:rsid w:val="006108A5"/>
    <w:rsid w:val="00617253"/>
    <w:rsid w:val="006175B7"/>
    <w:rsid w:val="0062002D"/>
    <w:rsid w:val="00620713"/>
    <w:rsid w:val="00627EBF"/>
    <w:rsid w:val="0063077C"/>
    <w:rsid w:val="00630B08"/>
    <w:rsid w:val="0063510F"/>
    <w:rsid w:val="006354C2"/>
    <w:rsid w:val="00635AB3"/>
    <w:rsid w:val="0063792C"/>
    <w:rsid w:val="006406A6"/>
    <w:rsid w:val="006433A5"/>
    <w:rsid w:val="006564A1"/>
    <w:rsid w:val="006574C6"/>
    <w:rsid w:val="00662282"/>
    <w:rsid w:val="0066420D"/>
    <w:rsid w:val="006654CE"/>
    <w:rsid w:val="0066716B"/>
    <w:rsid w:val="006709F2"/>
    <w:rsid w:val="0067324B"/>
    <w:rsid w:val="0068712E"/>
    <w:rsid w:val="00687B97"/>
    <w:rsid w:val="006922A7"/>
    <w:rsid w:val="006A2794"/>
    <w:rsid w:val="006A61D0"/>
    <w:rsid w:val="006A6CD3"/>
    <w:rsid w:val="006A7730"/>
    <w:rsid w:val="006B1215"/>
    <w:rsid w:val="006B6C49"/>
    <w:rsid w:val="006C054D"/>
    <w:rsid w:val="006C3EC3"/>
    <w:rsid w:val="006C5F36"/>
    <w:rsid w:val="006D0650"/>
    <w:rsid w:val="006D0C2A"/>
    <w:rsid w:val="006D439D"/>
    <w:rsid w:val="006D5113"/>
    <w:rsid w:val="006F4DDB"/>
    <w:rsid w:val="006F63B0"/>
    <w:rsid w:val="006F6623"/>
    <w:rsid w:val="007066EA"/>
    <w:rsid w:val="00711AB1"/>
    <w:rsid w:val="007160DB"/>
    <w:rsid w:val="00724A48"/>
    <w:rsid w:val="00725570"/>
    <w:rsid w:val="007264CA"/>
    <w:rsid w:val="00736472"/>
    <w:rsid w:val="00736C7C"/>
    <w:rsid w:val="007431EA"/>
    <w:rsid w:val="00747ADB"/>
    <w:rsid w:val="00747FD2"/>
    <w:rsid w:val="00751034"/>
    <w:rsid w:val="007564D4"/>
    <w:rsid w:val="00764783"/>
    <w:rsid w:val="007664D2"/>
    <w:rsid w:val="007715C4"/>
    <w:rsid w:val="00771A6B"/>
    <w:rsid w:val="00773688"/>
    <w:rsid w:val="00777696"/>
    <w:rsid w:val="00794F1B"/>
    <w:rsid w:val="007A0545"/>
    <w:rsid w:val="007A383E"/>
    <w:rsid w:val="007A4200"/>
    <w:rsid w:val="007A71A1"/>
    <w:rsid w:val="007A72AB"/>
    <w:rsid w:val="007B7D7C"/>
    <w:rsid w:val="007C650A"/>
    <w:rsid w:val="007D35AE"/>
    <w:rsid w:val="007D7814"/>
    <w:rsid w:val="007E4D12"/>
    <w:rsid w:val="007F337A"/>
    <w:rsid w:val="00802F7A"/>
    <w:rsid w:val="008074FE"/>
    <w:rsid w:val="0081543F"/>
    <w:rsid w:val="00816BCF"/>
    <w:rsid w:val="0082383F"/>
    <w:rsid w:val="00827DCF"/>
    <w:rsid w:val="00836C2C"/>
    <w:rsid w:val="008409B7"/>
    <w:rsid w:val="00841A4B"/>
    <w:rsid w:val="0084456A"/>
    <w:rsid w:val="0084757D"/>
    <w:rsid w:val="008578E7"/>
    <w:rsid w:val="00866724"/>
    <w:rsid w:val="00870BB8"/>
    <w:rsid w:val="008746CD"/>
    <w:rsid w:val="00884073"/>
    <w:rsid w:val="00894F26"/>
    <w:rsid w:val="00897315"/>
    <w:rsid w:val="008A6C00"/>
    <w:rsid w:val="008B401D"/>
    <w:rsid w:val="008B41D3"/>
    <w:rsid w:val="008C09A9"/>
    <w:rsid w:val="008C0BD0"/>
    <w:rsid w:val="008C3D66"/>
    <w:rsid w:val="008C40BD"/>
    <w:rsid w:val="008C799C"/>
    <w:rsid w:val="008D4705"/>
    <w:rsid w:val="008D6614"/>
    <w:rsid w:val="008E429D"/>
    <w:rsid w:val="008F16C6"/>
    <w:rsid w:val="0090122C"/>
    <w:rsid w:val="0091536F"/>
    <w:rsid w:val="00917AD7"/>
    <w:rsid w:val="00922260"/>
    <w:rsid w:val="00931F21"/>
    <w:rsid w:val="00933BD4"/>
    <w:rsid w:val="009401DA"/>
    <w:rsid w:val="00942C19"/>
    <w:rsid w:val="00962EBA"/>
    <w:rsid w:val="00971FC9"/>
    <w:rsid w:val="009747D8"/>
    <w:rsid w:val="00976ED4"/>
    <w:rsid w:val="00987899"/>
    <w:rsid w:val="00987BF9"/>
    <w:rsid w:val="00994932"/>
    <w:rsid w:val="009A61FD"/>
    <w:rsid w:val="009B0F5F"/>
    <w:rsid w:val="009B2261"/>
    <w:rsid w:val="009B547A"/>
    <w:rsid w:val="009B6BFB"/>
    <w:rsid w:val="009C598A"/>
    <w:rsid w:val="009F518B"/>
    <w:rsid w:val="009F596C"/>
    <w:rsid w:val="009F67DC"/>
    <w:rsid w:val="009F6977"/>
    <w:rsid w:val="00A00966"/>
    <w:rsid w:val="00A02EB4"/>
    <w:rsid w:val="00A05356"/>
    <w:rsid w:val="00A122E5"/>
    <w:rsid w:val="00A13DB5"/>
    <w:rsid w:val="00A1466B"/>
    <w:rsid w:val="00A153AD"/>
    <w:rsid w:val="00A2087E"/>
    <w:rsid w:val="00A218EC"/>
    <w:rsid w:val="00A22D99"/>
    <w:rsid w:val="00A310A1"/>
    <w:rsid w:val="00A3280E"/>
    <w:rsid w:val="00A36C7B"/>
    <w:rsid w:val="00A4277C"/>
    <w:rsid w:val="00A448BF"/>
    <w:rsid w:val="00A4687A"/>
    <w:rsid w:val="00A51CE8"/>
    <w:rsid w:val="00A5373D"/>
    <w:rsid w:val="00A548CB"/>
    <w:rsid w:val="00A54F4C"/>
    <w:rsid w:val="00A617B6"/>
    <w:rsid w:val="00A6244B"/>
    <w:rsid w:val="00A63C55"/>
    <w:rsid w:val="00A63D92"/>
    <w:rsid w:val="00A66E92"/>
    <w:rsid w:val="00A676C5"/>
    <w:rsid w:val="00A70993"/>
    <w:rsid w:val="00A73638"/>
    <w:rsid w:val="00A81C20"/>
    <w:rsid w:val="00A86137"/>
    <w:rsid w:val="00A867A7"/>
    <w:rsid w:val="00A91DE1"/>
    <w:rsid w:val="00A91E74"/>
    <w:rsid w:val="00AA0B8D"/>
    <w:rsid w:val="00AA5958"/>
    <w:rsid w:val="00AB0328"/>
    <w:rsid w:val="00AB4B11"/>
    <w:rsid w:val="00AB7BDB"/>
    <w:rsid w:val="00AC27A4"/>
    <w:rsid w:val="00AC51DA"/>
    <w:rsid w:val="00AF1FA6"/>
    <w:rsid w:val="00AF61FA"/>
    <w:rsid w:val="00AF7F7F"/>
    <w:rsid w:val="00B02356"/>
    <w:rsid w:val="00B030F7"/>
    <w:rsid w:val="00B0735C"/>
    <w:rsid w:val="00B109BD"/>
    <w:rsid w:val="00B135BC"/>
    <w:rsid w:val="00B1525C"/>
    <w:rsid w:val="00B173E0"/>
    <w:rsid w:val="00B261AE"/>
    <w:rsid w:val="00B31837"/>
    <w:rsid w:val="00B327A6"/>
    <w:rsid w:val="00B35504"/>
    <w:rsid w:val="00B40693"/>
    <w:rsid w:val="00B42BDA"/>
    <w:rsid w:val="00B439D6"/>
    <w:rsid w:val="00B44EDC"/>
    <w:rsid w:val="00B44FCB"/>
    <w:rsid w:val="00B533F9"/>
    <w:rsid w:val="00B64536"/>
    <w:rsid w:val="00B66789"/>
    <w:rsid w:val="00B74A2B"/>
    <w:rsid w:val="00B7781A"/>
    <w:rsid w:val="00B8124D"/>
    <w:rsid w:val="00B8750C"/>
    <w:rsid w:val="00B87FDF"/>
    <w:rsid w:val="00B9367D"/>
    <w:rsid w:val="00BA1B7D"/>
    <w:rsid w:val="00BA1D73"/>
    <w:rsid w:val="00BA34B8"/>
    <w:rsid w:val="00BA5E56"/>
    <w:rsid w:val="00BB090B"/>
    <w:rsid w:val="00BC07F0"/>
    <w:rsid w:val="00BC12E0"/>
    <w:rsid w:val="00BC3AF4"/>
    <w:rsid w:val="00BD0188"/>
    <w:rsid w:val="00BD2462"/>
    <w:rsid w:val="00BD5D4B"/>
    <w:rsid w:val="00BE1CE5"/>
    <w:rsid w:val="00BE424F"/>
    <w:rsid w:val="00BF7A44"/>
    <w:rsid w:val="00C010A6"/>
    <w:rsid w:val="00C119F4"/>
    <w:rsid w:val="00C12A6E"/>
    <w:rsid w:val="00C20C4F"/>
    <w:rsid w:val="00C414B5"/>
    <w:rsid w:val="00C501AF"/>
    <w:rsid w:val="00C50906"/>
    <w:rsid w:val="00C52041"/>
    <w:rsid w:val="00C52EB6"/>
    <w:rsid w:val="00C53586"/>
    <w:rsid w:val="00C6446A"/>
    <w:rsid w:val="00C66C8B"/>
    <w:rsid w:val="00C814B4"/>
    <w:rsid w:val="00C83D4E"/>
    <w:rsid w:val="00C87404"/>
    <w:rsid w:val="00C95AF7"/>
    <w:rsid w:val="00C9643A"/>
    <w:rsid w:val="00CA4CC7"/>
    <w:rsid w:val="00CB6368"/>
    <w:rsid w:val="00CB7FB2"/>
    <w:rsid w:val="00CC22CC"/>
    <w:rsid w:val="00CC3545"/>
    <w:rsid w:val="00CC4C16"/>
    <w:rsid w:val="00CD0127"/>
    <w:rsid w:val="00CD2F2A"/>
    <w:rsid w:val="00CD382F"/>
    <w:rsid w:val="00CE45C2"/>
    <w:rsid w:val="00CE4A82"/>
    <w:rsid w:val="00CE4F38"/>
    <w:rsid w:val="00CE59C1"/>
    <w:rsid w:val="00CE6A91"/>
    <w:rsid w:val="00CF56BF"/>
    <w:rsid w:val="00D01F74"/>
    <w:rsid w:val="00D121BD"/>
    <w:rsid w:val="00D136C9"/>
    <w:rsid w:val="00D254C3"/>
    <w:rsid w:val="00D2624C"/>
    <w:rsid w:val="00D32DB5"/>
    <w:rsid w:val="00D439C3"/>
    <w:rsid w:val="00D4705C"/>
    <w:rsid w:val="00D55160"/>
    <w:rsid w:val="00D565F6"/>
    <w:rsid w:val="00D572E4"/>
    <w:rsid w:val="00D6104C"/>
    <w:rsid w:val="00D709AA"/>
    <w:rsid w:val="00D71641"/>
    <w:rsid w:val="00D81BA2"/>
    <w:rsid w:val="00D91FDD"/>
    <w:rsid w:val="00D933C7"/>
    <w:rsid w:val="00D9500F"/>
    <w:rsid w:val="00D95BFC"/>
    <w:rsid w:val="00DA04EE"/>
    <w:rsid w:val="00DA561F"/>
    <w:rsid w:val="00DB66E1"/>
    <w:rsid w:val="00DB6AB8"/>
    <w:rsid w:val="00DC4EAF"/>
    <w:rsid w:val="00DD07BF"/>
    <w:rsid w:val="00DD238F"/>
    <w:rsid w:val="00DD31AF"/>
    <w:rsid w:val="00DD43C3"/>
    <w:rsid w:val="00DD7DBD"/>
    <w:rsid w:val="00DE1AAF"/>
    <w:rsid w:val="00DE2778"/>
    <w:rsid w:val="00DF269A"/>
    <w:rsid w:val="00E00AFF"/>
    <w:rsid w:val="00E04663"/>
    <w:rsid w:val="00E15FA1"/>
    <w:rsid w:val="00E5072A"/>
    <w:rsid w:val="00E53694"/>
    <w:rsid w:val="00E552AC"/>
    <w:rsid w:val="00E626E2"/>
    <w:rsid w:val="00E67065"/>
    <w:rsid w:val="00E71148"/>
    <w:rsid w:val="00E725E9"/>
    <w:rsid w:val="00E73C0C"/>
    <w:rsid w:val="00E75958"/>
    <w:rsid w:val="00E76886"/>
    <w:rsid w:val="00E96A24"/>
    <w:rsid w:val="00E97630"/>
    <w:rsid w:val="00EA1589"/>
    <w:rsid w:val="00EA4D40"/>
    <w:rsid w:val="00EA60D6"/>
    <w:rsid w:val="00EA773E"/>
    <w:rsid w:val="00EB34D6"/>
    <w:rsid w:val="00EB3FCA"/>
    <w:rsid w:val="00EC103E"/>
    <w:rsid w:val="00EC4ED2"/>
    <w:rsid w:val="00EC6A5D"/>
    <w:rsid w:val="00ED274D"/>
    <w:rsid w:val="00ED7D3E"/>
    <w:rsid w:val="00EE13DA"/>
    <w:rsid w:val="00EE1BA3"/>
    <w:rsid w:val="00F00011"/>
    <w:rsid w:val="00F014E3"/>
    <w:rsid w:val="00F01DEE"/>
    <w:rsid w:val="00F06339"/>
    <w:rsid w:val="00F069E1"/>
    <w:rsid w:val="00F1076F"/>
    <w:rsid w:val="00F1163A"/>
    <w:rsid w:val="00F1318B"/>
    <w:rsid w:val="00F14DBC"/>
    <w:rsid w:val="00F31CCD"/>
    <w:rsid w:val="00F34041"/>
    <w:rsid w:val="00F349AB"/>
    <w:rsid w:val="00F43100"/>
    <w:rsid w:val="00F44FDB"/>
    <w:rsid w:val="00F5290B"/>
    <w:rsid w:val="00F60290"/>
    <w:rsid w:val="00F611DC"/>
    <w:rsid w:val="00F61664"/>
    <w:rsid w:val="00F617D3"/>
    <w:rsid w:val="00F61938"/>
    <w:rsid w:val="00F61BF7"/>
    <w:rsid w:val="00F72479"/>
    <w:rsid w:val="00F741D4"/>
    <w:rsid w:val="00F75AD6"/>
    <w:rsid w:val="00F75D63"/>
    <w:rsid w:val="00F76AE3"/>
    <w:rsid w:val="00F76BCA"/>
    <w:rsid w:val="00F80BAD"/>
    <w:rsid w:val="00F92728"/>
    <w:rsid w:val="00F9623A"/>
    <w:rsid w:val="00F97F10"/>
    <w:rsid w:val="00FA2534"/>
    <w:rsid w:val="00FA5D9D"/>
    <w:rsid w:val="00FB2C8E"/>
    <w:rsid w:val="00FB46C7"/>
    <w:rsid w:val="00FB62A7"/>
    <w:rsid w:val="00FB75D6"/>
    <w:rsid w:val="00FC1328"/>
    <w:rsid w:val="00FC30B3"/>
    <w:rsid w:val="00FC3B1D"/>
    <w:rsid w:val="00FC5E47"/>
    <w:rsid w:val="00FD64CA"/>
    <w:rsid w:val="00FD7358"/>
    <w:rsid w:val="00FD7B51"/>
    <w:rsid w:val="00FD7E6D"/>
    <w:rsid w:val="00FE073D"/>
    <w:rsid w:val="00FE1DA9"/>
    <w:rsid w:val="00FE5969"/>
    <w:rsid w:val="00FF1039"/>
    <w:rsid w:val="00FF14F1"/>
    <w:rsid w:val="00FF7E18"/>
    <w:rsid w:val="15119807"/>
    <w:rsid w:val="37D8190F"/>
    <w:rsid w:val="37FA1C90"/>
    <w:rsid w:val="49B6F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2CD9C539-CCF3-4BAC-A5F4-FBFFF678B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character" w:styleId="Mention">
    <w:name w:val="Mention"/>
    <w:basedOn w:val="DefaultParagraphFont"/>
    <w:uiPriority w:val="99"/>
    <w:unhideWhenUsed/>
    <w:rsid w:val="004526BF"/>
    <w:rPr>
      <w:color w:val="2B579A"/>
      <w:shd w:val="clear" w:color="auto" w:fill="E1DFDD"/>
    </w:rPr>
  </w:style>
  <w:style w:type="paragraph" w:styleId="Revision">
    <w:name w:val="Revision"/>
    <w:hidden/>
    <w:uiPriority w:val="99"/>
    <w:semiHidden/>
    <w:rsid w:val="003857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inicaltrials.gov/study/NCT04908189" TargetMode="External"/><Relationship Id="rId18" Type="http://schemas.openxmlformats.org/officeDocument/2006/relationships/hyperlink" Target="https://www.bms.com/assets/bms/us/en-us/pdf/investor-info/doc_presentations/2025/BMY-2025-Q4-Results-Investor-Presentation-with-Appendix.pdf" TargetMode="External"/><Relationship Id="rId26" Type="http://schemas.openxmlformats.org/officeDocument/2006/relationships/hyperlink" Target="https://clinicaltrials.gov/study/NCT06869551?intr=SOTYKTU%20OR%20Deucravacitinib" TargetMode="External"/><Relationship Id="rId39" Type="http://schemas.openxmlformats.org/officeDocument/2006/relationships/fontTable" Target="fontTable.xml"/><Relationship Id="rId21" Type="http://schemas.openxmlformats.org/officeDocument/2006/relationships/image" Target="cid:image003.png@01DCADAF.00CBCAB0" TargetMode="External"/><Relationship Id="rId34" Type="http://schemas.openxmlformats.org/officeDocument/2006/relationships/hyperlink" Target="mailto:irene.knorn@abbvie.com" TargetMode="External"/><Relationship Id="rId7" Type="http://schemas.openxmlformats.org/officeDocument/2006/relationships/webSettings" Target="webSettings.xml"/><Relationship Id="rId12" Type="http://schemas.openxmlformats.org/officeDocument/2006/relationships/hyperlink" Target="https://clinicaltrials.gov/study/NCT04908202" TargetMode="External"/><Relationship Id="rId17" Type="http://schemas.openxmlformats.org/officeDocument/2006/relationships/hyperlink" Target="https://news.bms.com/news/details/2023/Bristol-Myers-Squibb-Receives-European-Commission-Approval-of-Sotyktu-deucravacitinib-a-Once-Daily-Oral-Treatment-for-Adults-With-Moderate-to-Severe-Plaque-Psoriasis/default.aspx" TargetMode="External"/><Relationship Id="rId25" Type="http://schemas.openxmlformats.org/officeDocument/2006/relationships/hyperlink" Target="https://news.bms.com/news/details/2025/Bristol-Myers-Squibbs-Supplemental-New-Drug-Application-sNDA-for-Sotyktu-deucravacitinib-for-the-Treatment-of-Adults-with-Active-Psoriatic-Arthritis-Accepted-for-Review-Across-Four-Regions-Globally/default.aspx" TargetMode="External"/><Relationship Id="rId33" Type="http://schemas.openxmlformats.org/officeDocument/2006/relationships/hyperlink" Target="mailto:priti.anand@abbvie.com" TargetMode="External"/><Relationship Id="rId38"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2" Type="http://schemas.openxmlformats.org/officeDocument/2006/relationships/customXml" Target="../customXml/item2.xml"/><Relationship Id="rId16" Type="http://schemas.openxmlformats.org/officeDocument/2006/relationships/hyperlink" Target="https://www.sotyktu.com/about-sotyktu/sotyktu-study-results/?cid=sem_3072942&amp;gclid=6822d9261f1a1b70c48ab08aaf06d520&amp;gclsrc=3p.ds&amp;msclkid=6822d9261f1a1b70c48ab08aaf06d520" TargetMode="External"/><Relationship Id="rId20" Type="http://schemas.openxmlformats.org/officeDocument/2006/relationships/image" Target="media/image3.png"/><Relationship Id="rId29" Type="http://schemas.openxmlformats.org/officeDocument/2006/relationships/hyperlink" Target="https://clinicaltrials.gov/study/NCT05946941?term=IM011-1069&amp;rank=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ews.bms.com/news/details/2026/U-S--FDA-Approves-Bristol-Myers-Squibbs-Sotyktu-deucravacitinib-for-the-Treatment-of-Adults-with-Active-Psoriatic-Arthritis/default.aspx" TargetMode="External"/><Relationship Id="rId24" Type="http://schemas.openxmlformats.org/officeDocument/2006/relationships/image" Target="media/image4.png"/><Relationship Id="rId32" Type="http://schemas.openxmlformats.org/officeDocument/2006/relationships/hyperlink" Target="mailto:luke.versten@abbvie.com" TargetMode="External"/><Relationship Id="rId37"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sotyktuhcp.com/" TargetMode="External"/><Relationship Id="rId23" Type="http://schemas.openxmlformats.org/officeDocument/2006/relationships/hyperlink" Target="https://clinicaltrials.gov/study/NCT04908189" TargetMode="External"/><Relationship Id="rId28" Type="http://schemas.openxmlformats.org/officeDocument/2006/relationships/hyperlink" Target="https://clinicaltrials.gov/study/NCT05620407" TargetMode="External"/><Relationship Id="rId36"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0" Type="http://schemas.openxmlformats.org/officeDocument/2006/relationships/hyperlink" Target="https://packageinserts.bms.com/pi/pi_sotyktu.pdf" TargetMode="External"/><Relationship Id="rId19" Type="http://schemas.openxmlformats.org/officeDocument/2006/relationships/image" Target="media/image2.png"/><Relationship Id="rId31" Type="http://schemas.openxmlformats.org/officeDocument/2006/relationships/hyperlink" Target="mailto:bethany.christmann@abbvie.com" TargetMode="External"/><Relationship Id="rId4" Type="http://schemas.openxmlformats.org/officeDocument/2006/relationships/numbering" Target="numbering.xml"/><Relationship Id="rId9" Type="http://schemas.openxmlformats.org/officeDocument/2006/relationships/hyperlink" Target="https://news.bms.com/news/details/2026/U-S--FDA-Approves-Bristol-Myers-Squibbs-Sotyktu-deucravacitinib-for-the-Treatment-of-Adults-with-Active-Psoriatic-Arthritis/default.aspx" TargetMode="External"/><Relationship Id="rId14" Type="http://schemas.openxmlformats.org/officeDocument/2006/relationships/hyperlink" Target="https://packageinserts.bms.com/pi/pi_sotyktu.pdf" TargetMode="External"/><Relationship Id="rId22" Type="http://schemas.openxmlformats.org/officeDocument/2006/relationships/hyperlink" Target="https://clinicaltrials.gov/study/NCT04908202" TargetMode="External"/><Relationship Id="rId27" Type="http://schemas.openxmlformats.org/officeDocument/2006/relationships/hyperlink" Target="https://clinicaltrials.gov/study/NCT05617677" TargetMode="External"/><Relationship Id="rId30" Type="http://schemas.openxmlformats.org/officeDocument/2006/relationships/hyperlink" Target="mailto:chanda.bhat@abbvie.com" TargetMode="External"/><Relationship Id="rId35" Type="http://schemas.openxmlformats.org/officeDocument/2006/relationships/hyperlink" Target="mailto:priti.anand@abbvie.com" TargetMode="External"/><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285507-6EB9-4E75-934B-8BECC5AE0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Normal.dotm</Template>
  <TotalTime>2369</TotalTime>
  <Pages>1</Pages>
  <Words>1225</Words>
  <Characters>6983</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Abbvie</Company>
  <LinksUpToDate>false</LinksUpToDate>
  <CharactersWithSpaces>8192</CharactersWithSpaces>
  <SharedDoc>false</SharedDoc>
  <HLinks>
    <vt:vector size="156" baseType="variant">
      <vt:variant>
        <vt:i4>589939</vt:i4>
      </vt:variant>
      <vt:variant>
        <vt:i4>75</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72</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69</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66</vt:i4>
      </vt:variant>
      <vt:variant>
        <vt:i4>0</vt:i4>
      </vt:variant>
      <vt:variant>
        <vt:i4>5</vt:i4>
      </vt:variant>
      <vt:variant>
        <vt:lpwstr>mailto:priti.anand@abbvie.com</vt:lpwstr>
      </vt:variant>
      <vt:variant>
        <vt:lpwstr/>
      </vt:variant>
      <vt:variant>
        <vt:i4>4849718</vt:i4>
      </vt:variant>
      <vt:variant>
        <vt:i4>63</vt:i4>
      </vt:variant>
      <vt:variant>
        <vt:i4>0</vt:i4>
      </vt:variant>
      <vt:variant>
        <vt:i4>5</vt:i4>
      </vt:variant>
      <vt:variant>
        <vt:lpwstr>mailto:irene.knorn@abbvie.com</vt:lpwstr>
      </vt:variant>
      <vt:variant>
        <vt:lpwstr/>
      </vt:variant>
      <vt:variant>
        <vt:i4>6094896</vt:i4>
      </vt:variant>
      <vt:variant>
        <vt:i4>60</vt:i4>
      </vt:variant>
      <vt:variant>
        <vt:i4>0</vt:i4>
      </vt:variant>
      <vt:variant>
        <vt:i4>5</vt:i4>
      </vt:variant>
      <vt:variant>
        <vt:lpwstr>mailto:priti.anand@abbvie.com</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3276886</vt:i4>
      </vt:variant>
      <vt:variant>
        <vt:i4>54</vt:i4>
      </vt:variant>
      <vt:variant>
        <vt:i4>0</vt:i4>
      </vt:variant>
      <vt:variant>
        <vt:i4>5</vt:i4>
      </vt:variant>
      <vt:variant>
        <vt:lpwstr>mailto:bethany.christmann@abbvie.com</vt:lpwstr>
      </vt:variant>
      <vt:variant>
        <vt:lpwstr/>
      </vt:variant>
      <vt:variant>
        <vt:i4>1900668</vt:i4>
      </vt:variant>
      <vt:variant>
        <vt:i4>51</vt:i4>
      </vt:variant>
      <vt:variant>
        <vt:i4>0</vt:i4>
      </vt:variant>
      <vt:variant>
        <vt:i4>5</vt:i4>
      </vt:variant>
      <vt:variant>
        <vt:lpwstr>mailto:chanda.bhat@abbvie.com</vt:lpwstr>
      </vt:variant>
      <vt:variant>
        <vt:lpwstr/>
      </vt:variant>
      <vt:variant>
        <vt:i4>6488190</vt:i4>
      </vt:variant>
      <vt:variant>
        <vt:i4>48</vt:i4>
      </vt:variant>
      <vt:variant>
        <vt:i4>0</vt:i4>
      </vt:variant>
      <vt:variant>
        <vt:i4>5</vt:i4>
      </vt:variant>
      <vt:variant>
        <vt:lpwstr>https://clinicaltrials.gov/study/NCT05946941?term=IM011-1069&amp;rank=1</vt:lpwstr>
      </vt:variant>
      <vt:variant>
        <vt:lpwstr/>
      </vt:variant>
      <vt:variant>
        <vt:i4>786439</vt:i4>
      </vt:variant>
      <vt:variant>
        <vt:i4>45</vt:i4>
      </vt:variant>
      <vt:variant>
        <vt:i4>0</vt:i4>
      </vt:variant>
      <vt:variant>
        <vt:i4>5</vt:i4>
      </vt:variant>
      <vt:variant>
        <vt:lpwstr>https://clinicaltrials.gov/study/NCT05620407</vt:lpwstr>
      </vt:variant>
      <vt:variant>
        <vt:lpwstr/>
      </vt:variant>
      <vt:variant>
        <vt:i4>851975</vt:i4>
      </vt:variant>
      <vt:variant>
        <vt:i4>42</vt:i4>
      </vt:variant>
      <vt:variant>
        <vt:i4>0</vt:i4>
      </vt:variant>
      <vt:variant>
        <vt:i4>5</vt:i4>
      </vt:variant>
      <vt:variant>
        <vt:lpwstr>https://clinicaltrials.gov/study/NCT05617677</vt:lpwstr>
      </vt:variant>
      <vt:variant>
        <vt:lpwstr/>
      </vt:variant>
      <vt:variant>
        <vt:i4>1376280</vt:i4>
      </vt:variant>
      <vt:variant>
        <vt:i4>39</vt:i4>
      </vt:variant>
      <vt:variant>
        <vt:i4>0</vt:i4>
      </vt:variant>
      <vt:variant>
        <vt:i4>5</vt:i4>
      </vt:variant>
      <vt:variant>
        <vt:lpwstr>https://clinicaltrials.gov/study/NCT06869551?intr=SOTYKTU%20OR%20Deucravacitinib</vt:lpwstr>
      </vt:variant>
      <vt:variant>
        <vt:lpwstr/>
      </vt:variant>
      <vt:variant>
        <vt:i4>65605</vt:i4>
      </vt:variant>
      <vt:variant>
        <vt:i4>36</vt:i4>
      </vt:variant>
      <vt:variant>
        <vt:i4>0</vt:i4>
      </vt:variant>
      <vt:variant>
        <vt:i4>5</vt:i4>
      </vt:variant>
      <vt:variant>
        <vt:lpwstr>https://news.bms.com/news/details/2025/Bristol-Myers-Squibbs-Supplemental-New-Drug-Application-sNDA-for-Sotyktu-deucravacitinib-for-the-Treatment-of-Adults-with-Active-Psoriatic-Arthritis-Accepted-for-Review-Across-Four-Regions-Globally/default.aspx</vt:lpwstr>
      </vt:variant>
      <vt:variant>
        <vt:lpwstr/>
      </vt:variant>
      <vt:variant>
        <vt:i4>262152</vt:i4>
      </vt:variant>
      <vt:variant>
        <vt:i4>33</vt:i4>
      </vt:variant>
      <vt:variant>
        <vt:i4>0</vt:i4>
      </vt:variant>
      <vt:variant>
        <vt:i4>5</vt:i4>
      </vt:variant>
      <vt:variant>
        <vt:lpwstr>https://clinicaltrials.gov/study/NCT04908189</vt:lpwstr>
      </vt:variant>
      <vt:variant>
        <vt:lpwstr/>
      </vt:variant>
      <vt:variant>
        <vt:i4>786432</vt:i4>
      </vt:variant>
      <vt:variant>
        <vt:i4>30</vt:i4>
      </vt:variant>
      <vt:variant>
        <vt:i4>0</vt:i4>
      </vt:variant>
      <vt:variant>
        <vt:i4>5</vt:i4>
      </vt:variant>
      <vt:variant>
        <vt:lpwstr>https://clinicaltrials.gov/study/NCT04908202</vt:lpwstr>
      </vt:variant>
      <vt:variant>
        <vt:lpwstr/>
      </vt:variant>
      <vt:variant>
        <vt:i4>3014739</vt:i4>
      </vt:variant>
      <vt:variant>
        <vt:i4>27</vt:i4>
      </vt:variant>
      <vt:variant>
        <vt:i4>0</vt:i4>
      </vt:variant>
      <vt:variant>
        <vt:i4>5</vt:i4>
      </vt:variant>
      <vt:variant>
        <vt:lpwstr>https://www.bms.com/assets/bms/us/en-us/pdf/investor-info/doc_presentations/2025/BMY-2025-Q4-Results-Investor-Presentation-with-Appendix.pdf</vt:lpwstr>
      </vt:variant>
      <vt:variant>
        <vt:lpwstr/>
      </vt:variant>
      <vt:variant>
        <vt:i4>589899</vt:i4>
      </vt:variant>
      <vt:variant>
        <vt:i4>24</vt:i4>
      </vt:variant>
      <vt:variant>
        <vt:i4>0</vt:i4>
      </vt:variant>
      <vt:variant>
        <vt:i4>5</vt:i4>
      </vt:variant>
      <vt:variant>
        <vt:lpwstr>https://news.bms.com/news/details/2023/Bristol-Myers-Squibb-Receives-European-Commission-Approval-of-Sotyktu-deucravacitinib-a-Once-Daily-Oral-Treatment-for-Adults-With-Moderate-to-Severe-Plaque-Psoriasis/default.aspx</vt:lpwstr>
      </vt:variant>
      <vt:variant>
        <vt:lpwstr/>
      </vt:variant>
      <vt:variant>
        <vt:i4>4784183</vt:i4>
      </vt:variant>
      <vt:variant>
        <vt:i4>21</vt:i4>
      </vt:variant>
      <vt:variant>
        <vt:i4>0</vt:i4>
      </vt:variant>
      <vt:variant>
        <vt:i4>5</vt:i4>
      </vt:variant>
      <vt:variant>
        <vt:lpwstr>https://www.sotyktu.com/about-sotyktu/sotyktu-study-results/?cid=sem_3072942&amp;gclid=6822d9261f1a1b70c48ab08aaf06d520&amp;gclsrc=3p.ds&amp;msclkid=6822d9261f1a1b70c48ab08aaf06d520</vt:lpwstr>
      </vt:variant>
      <vt:variant>
        <vt:lpwstr/>
      </vt:variant>
      <vt:variant>
        <vt:i4>3932283</vt:i4>
      </vt:variant>
      <vt:variant>
        <vt:i4>18</vt:i4>
      </vt:variant>
      <vt:variant>
        <vt:i4>0</vt:i4>
      </vt:variant>
      <vt:variant>
        <vt:i4>5</vt:i4>
      </vt:variant>
      <vt:variant>
        <vt:lpwstr>https://www.sotyktuhcp.com/</vt:lpwstr>
      </vt:variant>
      <vt:variant>
        <vt:lpwstr/>
      </vt:variant>
      <vt:variant>
        <vt:i4>4259947</vt:i4>
      </vt:variant>
      <vt:variant>
        <vt:i4>15</vt:i4>
      </vt:variant>
      <vt:variant>
        <vt:i4>0</vt:i4>
      </vt:variant>
      <vt:variant>
        <vt:i4>5</vt:i4>
      </vt:variant>
      <vt:variant>
        <vt:lpwstr>https://packageinserts.bms.com/pi/pi_sotyktu.pdf</vt:lpwstr>
      </vt:variant>
      <vt:variant>
        <vt:lpwstr/>
      </vt:variant>
      <vt:variant>
        <vt:i4>262152</vt:i4>
      </vt:variant>
      <vt:variant>
        <vt:i4>12</vt:i4>
      </vt:variant>
      <vt:variant>
        <vt:i4>0</vt:i4>
      </vt:variant>
      <vt:variant>
        <vt:i4>5</vt:i4>
      </vt:variant>
      <vt:variant>
        <vt:lpwstr>https://clinicaltrials.gov/study/NCT04908189</vt:lpwstr>
      </vt:variant>
      <vt:variant>
        <vt:lpwstr/>
      </vt:variant>
      <vt:variant>
        <vt:i4>786432</vt:i4>
      </vt:variant>
      <vt:variant>
        <vt:i4>9</vt:i4>
      </vt:variant>
      <vt:variant>
        <vt:i4>0</vt:i4>
      </vt:variant>
      <vt:variant>
        <vt:i4>5</vt:i4>
      </vt:variant>
      <vt:variant>
        <vt:lpwstr>https://clinicaltrials.gov/study/NCT04908202</vt:lpwstr>
      </vt:variant>
      <vt:variant>
        <vt:lpwstr/>
      </vt:variant>
      <vt:variant>
        <vt:i4>7864371</vt:i4>
      </vt:variant>
      <vt:variant>
        <vt:i4>6</vt:i4>
      </vt:variant>
      <vt:variant>
        <vt:i4>0</vt:i4>
      </vt:variant>
      <vt:variant>
        <vt:i4>5</vt:i4>
      </vt:variant>
      <vt:variant>
        <vt:lpwstr>https://news.bms.com/news/details/2026/U-S--FDA-Approves-Bristol-Myers-Squibbs-Sotyktu-deucravacitinib-for-the-Treatment-of-Adults-with-Active-Psoriatic-Arthritis/default.aspx</vt:lpwstr>
      </vt:variant>
      <vt:variant>
        <vt:lpwstr/>
      </vt:variant>
      <vt:variant>
        <vt:i4>4259947</vt:i4>
      </vt:variant>
      <vt:variant>
        <vt:i4>3</vt:i4>
      </vt:variant>
      <vt:variant>
        <vt:i4>0</vt:i4>
      </vt:variant>
      <vt:variant>
        <vt:i4>5</vt:i4>
      </vt:variant>
      <vt:variant>
        <vt:lpwstr>https://packageinserts.bms.com/pi/pi_sotyktu.pdf</vt:lpwstr>
      </vt:variant>
      <vt:variant>
        <vt:lpwstr/>
      </vt:variant>
      <vt:variant>
        <vt:i4>7864371</vt:i4>
      </vt:variant>
      <vt:variant>
        <vt:i4>0</vt:i4>
      </vt:variant>
      <vt:variant>
        <vt:i4>0</vt:i4>
      </vt:variant>
      <vt:variant>
        <vt:i4>5</vt:i4>
      </vt:variant>
      <vt:variant>
        <vt:lpwstr>https://news.bms.com/news/details/2026/U-S--FDA-Approves-Bristol-Myers-Squibbs-Sotyktu-deucravacitinib-for-the-Treatment-of-Adults-with-Active-Psoriatic-Arthritis/default.aspx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Christmann, Bethany</cp:lastModifiedBy>
  <cp:revision>395</cp:revision>
  <cp:lastPrinted>2026-03-09T17:34:00Z</cp:lastPrinted>
  <dcterms:created xsi:type="dcterms:W3CDTF">2026-03-07T01:35:00Z</dcterms:created>
  <dcterms:modified xsi:type="dcterms:W3CDTF">2026-03-09T15:36:00Z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