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1694455E">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A9D2127" w14:textId="17881324" w:rsidR="00FB75D6" w:rsidRDefault="00C41D4D" w:rsidP="00942C19">
            <w:pPr>
              <w:jc w:val="center"/>
              <w:rPr>
                <w:b/>
                <w:bCs/>
                <w:color w:val="002060"/>
                <w:sz w:val="32"/>
                <w:szCs w:val="32"/>
              </w:rPr>
            </w:pPr>
            <w:r w:rsidRPr="00C41D4D">
              <w:rPr>
                <w:b/>
                <w:bCs/>
                <w:color w:val="002060"/>
                <w:sz w:val="32"/>
                <w:szCs w:val="32"/>
              </w:rPr>
              <w:t>Sanofi announces lunsekimig failure to meet Primary Endpoint in Phase 2 study in AD</w:t>
            </w: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7665D65D"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4C5A75">
                    <w:rPr>
                      <w:rFonts w:ascii="Aptos" w:eastAsia="Aptos" w:hAnsi="Aptos" w:cs="Aptos"/>
                      <w:color w:val="171717" w:themeColor="background2" w:themeShade="1A"/>
                      <w:sz w:val="16"/>
                      <w:szCs w:val="16"/>
                    </w:rPr>
                    <w:t>S</w:t>
                  </w:r>
                  <w:r w:rsidR="00E929EE">
                    <w:rPr>
                      <w:rFonts w:ascii="Aptos" w:eastAsia="Aptos" w:hAnsi="Aptos" w:cs="Aptos"/>
                      <w:color w:val="171717" w:themeColor="background2" w:themeShade="1A"/>
                      <w:sz w:val="16"/>
                      <w:szCs w:val="16"/>
                    </w:rPr>
                    <w:t>anofi</w:t>
                  </w:r>
                </w:p>
                <w:p w14:paraId="6470EEFF" w14:textId="1735A4A4"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sidR="00DE7C85" w:rsidRPr="00DE7C85">
                    <w:rPr>
                      <w:rFonts w:ascii="Aptos" w:eastAsia="Aptos" w:hAnsi="Aptos" w:cs="Aptos"/>
                      <w:color w:val="171717" w:themeColor="background2" w:themeShade="1A"/>
                      <w:sz w:val="16"/>
                      <w:szCs w:val="16"/>
                    </w:rPr>
                    <w:t>lunsekimig (SAR443765, SC IL-13/TSLP inhibitor)</w:t>
                  </w:r>
                </w:p>
              </w:tc>
              <w:tc>
                <w:tcPr>
                  <w:tcW w:w="4637" w:type="dxa"/>
                  <w:tcMar>
                    <w:left w:w="105" w:type="dxa"/>
                    <w:right w:w="105" w:type="dxa"/>
                  </w:tcMar>
                  <w:vAlign w:val="center"/>
                </w:tcPr>
                <w:p w14:paraId="48EE8D15" w14:textId="0290E41F"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78791E" w:rsidRPr="0078791E">
                    <w:rPr>
                      <w:color w:val="171717" w:themeColor="background2" w:themeShade="1A"/>
                      <w:sz w:val="16"/>
                      <w:szCs w:val="16"/>
                    </w:rPr>
                    <w:t>April 7, 2026</w:t>
                  </w:r>
                </w:p>
                <w:p w14:paraId="5B8DA44C" w14:textId="3801360D"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D1476A" w:rsidRPr="00DA1407">
                      <w:rPr>
                        <w:rStyle w:val="Hyperlink"/>
                        <w:rFonts w:ascii="Aptos" w:hAnsi="Aptos" w:cs="Calibri"/>
                        <w:sz w:val="16"/>
                        <w:szCs w:val="16"/>
                      </w:rPr>
                      <w:t>Press release</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459C">
            <w:pPr>
              <w:rPr>
                <w:b/>
                <w:bCs/>
                <w:color w:val="002060"/>
                <w:sz w:val="28"/>
                <w:szCs w:val="28"/>
              </w:rPr>
            </w:pPr>
            <w:r w:rsidRPr="002E6873">
              <w:rPr>
                <w:b/>
                <w:bCs/>
                <w:color w:val="002060"/>
                <w:sz w:val="28"/>
                <w:szCs w:val="28"/>
              </w:rPr>
              <w:t>What happened:</w:t>
            </w:r>
          </w:p>
          <w:p w14:paraId="187C2D33" w14:textId="77777777" w:rsidR="00A355BB" w:rsidRPr="00DA1407" w:rsidRDefault="00A355BB" w:rsidP="0062101C">
            <w:pPr>
              <w:pStyle w:val="ListParagraph"/>
              <w:keepNext/>
              <w:numPr>
                <w:ilvl w:val="0"/>
                <w:numId w:val="1"/>
              </w:numPr>
              <w:contextualSpacing w:val="0"/>
              <w:rPr>
                <w:rFonts w:ascii="Aptos" w:hAnsi="Aptos" w:cs="Calibri"/>
                <w:b/>
                <w:bCs/>
                <w:color w:val="242424"/>
                <w:sz w:val="22"/>
                <w:szCs w:val="22"/>
                <w:lang w:val="en-GB" w:eastAsia="ja-JP"/>
              </w:rPr>
            </w:pPr>
            <w:r w:rsidRPr="00DA1407">
              <w:rPr>
                <w:rFonts w:ascii="Aptos" w:hAnsi="Aptos" w:cs="Calibri"/>
                <w:color w:val="242424"/>
                <w:sz w:val="22"/>
                <w:szCs w:val="22"/>
                <w:lang w:val="en-GB" w:eastAsia="ja-JP"/>
              </w:rPr>
              <w:t xml:space="preserve">Sanofi announced that </w:t>
            </w:r>
            <w:r w:rsidRPr="005447B0">
              <w:rPr>
                <w:rFonts w:ascii="Aptos" w:hAnsi="Aptos" w:cs="Calibri"/>
                <w:b/>
                <w:bCs/>
                <w:color w:val="242424"/>
                <w:sz w:val="22"/>
                <w:szCs w:val="22"/>
                <w:lang w:val="en-GB" w:eastAsia="ja-JP"/>
              </w:rPr>
              <w:t xml:space="preserve">lunsekimig’s Phase 2b </w:t>
            </w:r>
            <w:hyperlink r:id="rId10" w:history="1">
              <w:r w:rsidRPr="005447B0">
                <w:rPr>
                  <w:rStyle w:val="Hyperlink"/>
                  <w:rFonts w:ascii="Aptos" w:hAnsi="Aptos" w:cs="Calibri"/>
                  <w:b/>
                  <w:bCs/>
                  <w:sz w:val="22"/>
                  <w:szCs w:val="22"/>
                  <w:lang w:val="en-GB" w:eastAsia="ja-JP"/>
                </w:rPr>
                <w:t>VELVET</w:t>
              </w:r>
            </w:hyperlink>
            <w:r w:rsidRPr="005447B0">
              <w:rPr>
                <w:rFonts w:ascii="Aptos" w:hAnsi="Aptos" w:cs="Calibri"/>
                <w:b/>
                <w:bCs/>
                <w:color w:val="242424"/>
                <w:sz w:val="22"/>
                <w:szCs w:val="22"/>
                <w:lang w:val="en-GB" w:eastAsia="ja-JP"/>
              </w:rPr>
              <w:t xml:space="preserve"> study </w:t>
            </w:r>
            <w:r w:rsidRPr="00DA1407">
              <w:rPr>
                <w:rFonts w:ascii="Aptos" w:hAnsi="Aptos" w:cs="Calibri"/>
                <w:color w:val="242424"/>
                <w:sz w:val="22"/>
                <w:szCs w:val="22"/>
                <w:lang w:val="en-GB" w:eastAsia="ja-JP"/>
              </w:rPr>
              <w:t xml:space="preserve">in adults with moderate-to-severe AD </w:t>
            </w:r>
            <w:r w:rsidRPr="00DA1407">
              <w:rPr>
                <w:rFonts w:ascii="Aptos" w:hAnsi="Aptos" w:cs="Calibri"/>
                <w:b/>
                <w:bCs/>
                <w:color w:val="242424"/>
                <w:sz w:val="22"/>
                <w:szCs w:val="22"/>
                <w:lang w:val="en-GB" w:eastAsia="ja-JP"/>
              </w:rPr>
              <w:t>did not meet its primary endpoint of percent change from baseline in EASI score at Week 24</w:t>
            </w:r>
          </w:p>
          <w:p w14:paraId="6EDEBDBD" w14:textId="77777777" w:rsidR="00A355BB" w:rsidRDefault="00A355BB" w:rsidP="0062101C">
            <w:pPr>
              <w:pStyle w:val="ListParagraph"/>
              <w:keepNext/>
              <w:numPr>
                <w:ilvl w:val="1"/>
                <w:numId w:val="1"/>
              </w:numPr>
              <w:contextualSpacing w:val="0"/>
              <w:rPr>
                <w:rFonts w:ascii="Aptos" w:hAnsi="Aptos" w:cs="Calibri"/>
                <w:color w:val="242424"/>
                <w:sz w:val="22"/>
                <w:szCs w:val="22"/>
                <w:lang w:val="en-GB" w:eastAsia="ja-JP"/>
              </w:rPr>
            </w:pPr>
            <w:r w:rsidRPr="00DA1407">
              <w:rPr>
                <w:rFonts w:ascii="Aptos" w:hAnsi="Aptos" w:cs="Calibri"/>
                <w:color w:val="242424"/>
                <w:sz w:val="22"/>
                <w:szCs w:val="22"/>
                <w:lang w:val="en-GB" w:eastAsia="ja-JP"/>
              </w:rPr>
              <w:t>Improvements were observed in key secondary endpoints, including EASI-75 and vIGA-AD 0/1 (skin clearance measures)</w:t>
            </w:r>
          </w:p>
          <w:p w14:paraId="7221EF0C" w14:textId="35F07FC4" w:rsidR="00A355BB" w:rsidRPr="00DA1407" w:rsidRDefault="00A355BB" w:rsidP="0062101C">
            <w:pPr>
              <w:pStyle w:val="ListParagraph"/>
              <w:keepNext/>
              <w:numPr>
                <w:ilvl w:val="1"/>
                <w:numId w:val="1"/>
              </w:numPr>
              <w:contextualSpacing w:val="0"/>
              <w:rPr>
                <w:rFonts w:ascii="Aptos" w:hAnsi="Aptos" w:cs="Calibri"/>
                <w:color w:val="242424"/>
                <w:sz w:val="22"/>
                <w:szCs w:val="22"/>
                <w:lang w:val="en-GB" w:eastAsia="ja-JP"/>
              </w:rPr>
            </w:pPr>
            <w:r>
              <w:rPr>
                <w:rFonts w:ascii="Aptos" w:hAnsi="Aptos" w:cs="Calibri"/>
                <w:color w:val="242424"/>
                <w:sz w:val="22"/>
                <w:szCs w:val="22"/>
                <w:lang w:val="en-GB" w:eastAsia="ja-JP"/>
              </w:rPr>
              <w:t>Note, positive data</w:t>
            </w:r>
            <w:r w:rsidR="00A930DA">
              <w:rPr>
                <w:rFonts w:ascii="Aptos" w:hAnsi="Aptos" w:cs="Calibri"/>
                <w:color w:val="242424"/>
                <w:sz w:val="22"/>
                <w:szCs w:val="22"/>
                <w:lang w:val="en-GB" w:eastAsia="ja-JP"/>
              </w:rPr>
              <w:t xml:space="preserve"> were reported</w:t>
            </w:r>
            <w:r>
              <w:rPr>
                <w:rFonts w:ascii="Aptos" w:hAnsi="Aptos" w:cs="Calibri"/>
                <w:color w:val="242424"/>
                <w:sz w:val="22"/>
                <w:szCs w:val="22"/>
                <w:lang w:val="en-GB" w:eastAsia="ja-JP"/>
              </w:rPr>
              <w:t xml:space="preserve"> for </w:t>
            </w:r>
            <w:r w:rsidRPr="00DF4923">
              <w:rPr>
                <w:rFonts w:ascii="Aptos" w:hAnsi="Aptos" w:cs="Calibri"/>
                <w:color w:val="242424"/>
                <w:sz w:val="22"/>
                <w:szCs w:val="22"/>
                <w:lang w:val="en-GB" w:eastAsia="ja-JP"/>
              </w:rPr>
              <w:t xml:space="preserve">lunsekimig </w:t>
            </w:r>
            <w:r>
              <w:rPr>
                <w:rFonts w:ascii="Aptos" w:hAnsi="Aptos" w:cs="Calibri"/>
                <w:color w:val="242424"/>
                <w:sz w:val="22"/>
                <w:szCs w:val="22"/>
                <w:lang w:val="en-GB" w:eastAsia="ja-JP"/>
              </w:rPr>
              <w:t>P</w:t>
            </w:r>
            <w:r w:rsidRPr="00C9420E">
              <w:rPr>
                <w:rFonts w:ascii="Aptos" w:hAnsi="Aptos" w:cs="Calibri"/>
                <w:color w:val="242424"/>
                <w:sz w:val="22"/>
                <w:szCs w:val="22"/>
                <w:lang w:val="en-GB" w:eastAsia="ja-JP"/>
              </w:rPr>
              <w:t>hase 2 studies in asthma and CRSwNP</w:t>
            </w:r>
          </w:p>
          <w:p w14:paraId="1ADC9513" w14:textId="77777777" w:rsidR="00A355BB" w:rsidRDefault="00A355BB" w:rsidP="0062101C">
            <w:pPr>
              <w:pStyle w:val="ListParagraph"/>
              <w:keepNext/>
              <w:numPr>
                <w:ilvl w:val="0"/>
                <w:numId w:val="1"/>
              </w:numPr>
              <w:contextualSpacing w:val="0"/>
              <w:rPr>
                <w:rFonts w:ascii="Aptos" w:hAnsi="Aptos" w:cs="Calibri"/>
                <w:color w:val="242424"/>
                <w:sz w:val="22"/>
                <w:szCs w:val="22"/>
                <w:lang w:val="en-GB" w:eastAsia="ja-JP"/>
              </w:rPr>
            </w:pPr>
            <w:r w:rsidRPr="00350443">
              <w:rPr>
                <w:rFonts w:ascii="Aptos" w:hAnsi="Aptos" w:cs="Calibri"/>
                <w:color w:val="242424"/>
                <w:sz w:val="22"/>
                <w:szCs w:val="22"/>
                <w:lang w:val="en-GB" w:eastAsia="ja-JP"/>
              </w:rPr>
              <w:t>Lunsekimig was generally well tolerated</w:t>
            </w:r>
            <w:r w:rsidRPr="00DA1407">
              <w:rPr>
                <w:rFonts w:ascii="Aptos" w:hAnsi="Aptos" w:cs="Calibri"/>
                <w:color w:val="242424"/>
                <w:sz w:val="22"/>
                <w:szCs w:val="22"/>
                <w:lang w:val="en-GB" w:eastAsia="ja-JP"/>
              </w:rPr>
              <w:t>, with a safety profile consistent with studies in other indications</w:t>
            </w:r>
          </w:p>
          <w:p w14:paraId="7B742149" w14:textId="77777777" w:rsidR="002E6873" w:rsidRDefault="002E6873" w:rsidP="002E459C">
            <w:pPr>
              <w:rPr>
                <w:color w:val="002060"/>
                <w:sz w:val="22"/>
                <w:szCs w:val="22"/>
              </w:rPr>
            </w:pPr>
          </w:p>
          <w:p w14:paraId="120E1270" w14:textId="5915CA0A" w:rsidR="002E6873" w:rsidRPr="002E6873" w:rsidRDefault="002E6873" w:rsidP="002E459C">
            <w:pPr>
              <w:rPr>
                <w:b/>
                <w:bCs/>
                <w:color w:val="002060"/>
                <w:sz w:val="28"/>
                <w:szCs w:val="28"/>
              </w:rPr>
            </w:pPr>
            <w:r>
              <w:rPr>
                <w:b/>
                <w:bCs/>
                <w:color w:val="002060"/>
                <w:sz w:val="28"/>
                <w:szCs w:val="28"/>
              </w:rPr>
              <w:t xml:space="preserve">Impact (CI PoV): </w:t>
            </w:r>
            <w:r w:rsidR="00F8516C">
              <w:rPr>
                <w:rFonts w:ascii="Aptos" w:hAnsi="Aptos" w:cs="Calibri"/>
                <w:b/>
                <w:bCs/>
                <w:color w:val="E97132"/>
                <w:sz w:val="28"/>
                <w:szCs w:val="28"/>
              </w:rPr>
              <w:t>MEDIUM</w:t>
            </w:r>
          </w:p>
          <w:p w14:paraId="1221254D" w14:textId="2E2AB910" w:rsidR="00EA2C0A" w:rsidRPr="00350443" w:rsidRDefault="00EA2C0A" w:rsidP="0062101C">
            <w:pPr>
              <w:pStyle w:val="ListParagraph"/>
              <w:keepNext/>
              <w:numPr>
                <w:ilvl w:val="0"/>
                <w:numId w:val="1"/>
              </w:numPr>
              <w:rPr>
                <w:rFonts w:ascii="Aptos" w:hAnsi="Aptos" w:cs="Calibri"/>
                <w:sz w:val="22"/>
                <w:szCs w:val="22"/>
              </w:rPr>
            </w:pPr>
            <w:r w:rsidRPr="00350443">
              <w:rPr>
                <w:rFonts w:ascii="Aptos" w:hAnsi="Aptos" w:cs="Calibri"/>
                <w:sz w:val="22"/>
                <w:szCs w:val="22"/>
              </w:rPr>
              <w:t xml:space="preserve">Primary endpoints miss significantly </w:t>
            </w:r>
            <w:r w:rsidR="00470F98" w:rsidRPr="00350443">
              <w:rPr>
                <w:rFonts w:ascii="Aptos" w:hAnsi="Aptos" w:cs="Calibri"/>
                <w:sz w:val="22"/>
                <w:szCs w:val="22"/>
              </w:rPr>
              <w:t>reduce</w:t>
            </w:r>
            <w:r w:rsidRPr="00350443">
              <w:rPr>
                <w:rFonts w:ascii="Aptos" w:hAnsi="Aptos" w:cs="Calibri"/>
                <w:sz w:val="22"/>
                <w:szCs w:val="22"/>
              </w:rPr>
              <w:t xml:space="preserve"> confidence in lunsekimig’s positioning in AD and raise questions around the viability of the program in this indication</w:t>
            </w:r>
          </w:p>
          <w:p w14:paraId="1CA0A576" w14:textId="77777777" w:rsidR="00EA2C0A" w:rsidRPr="00DA1407" w:rsidRDefault="00EA2C0A" w:rsidP="0062101C">
            <w:pPr>
              <w:pStyle w:val="ListParagraph"/>
              <w:keepNext/>
              <w:numPr>
                <w:ilvl w:val="0"/>
                <w:numId w:val="1"/>
              </w:numPr>
              <w:rPr>
                <w:rFonts w:ascii="Aptos" w:hAnsi="Aptos" w:cs="Calibri"/>
                <w:sz w:val="22"/>
                <w:szCs w:val="22"/>
              </w:rPr>
            </w:pPr>
            <w:r w:rsidRPr="00350443">
              <w:rPr>
                <w:rFonts w:ascii="Aptos" w:hAnsi="Aptos" w:cs="Calibri"/>
                <w:sz w:val="22"/>
                <w:szCs w:val="22"/>
              </w:rPr>
              <w:t>While secondary endpoints suggest some clinical activity, progression to Phase 3 in AD is uncertain</w:t>
            </w:r>
            <w:r w:rsidRPr="00DA1407">
              <w:rPr>
                <w:rFonts w:ascii="Aptos" w:hAnsi="Aptos" w:cs="Calibri"/>
                <w:sz w:val="22"/>
                <w:szCs w:val="22"/>
              </w:rPr>
              <w:t>, and development may be delayed or deprioritized in favor of other indications</w:t>
            </w:r>
          </w:p>
          <w:p w14:paraId="4E616C91" w14:textId="456BF84F" w:rsidR="00925F70" w:rsidRPr="00EA2C0A" w:rsidRDefault="00EA2C0A" w:rsidP="0062101C">
            <w:pPr>
              <w:pStyle w:val="ListParagraph"/>
              <w:keepNext/>
              <w:numPr>
                <w:ilvl w:val="1"/>
                <w:numId w:val="1"/>
              </w:numPr>
              <w:spacing w:after="160" w:line="278" w:lineRule="auto"/>
              <w:rPr>
                <w:rFonts w:ascii="Aptos" w:hAnsi="Aptos" w:cs="Calibri"/>
                <w:b/>
                <w:bCs/>
                <w:lang w:val="en-GB" w:eastAsia="ja-JP"/>
              </w:rPr>
            </w:pPr>
            <w:commentRangeStart w:id="0"/>
            <w:r w:rsidRPr="00DA1407">
              <w:rPr>
                <w:rFonts w:ascii="Aptos" w:hAnsi="Aptos"/>
                <w:i/>
                <w:iCs/>
                <w:color w:val="0070C0"/>
                <w:sz w:val="22"/>
                <w:szCs w:val="22"/>
              </w:rPr>
              <w:t>CI previously estimated US/EU approval of lunsekimig in Q4 2029</w:t>
            </w:r>
            <w:commentRangeEnd w:id="0"/>
            <w:r w:rsidRPr="00DA1407">
              <w:rPr>
                <w:rStyle w:val="CommentReference"/>
                <w:rFonts w:ascii="Aptos" w:hAnsi="Aptos"/>
                <w:i/>
                <w:iCs/>
                <w:color w:val="0070C0"/>
                <w:sz w:val="22"/>
                <w:szCs w:val="22"/>
              </w:rPr>
              <w:commentReference w:id="0"/>
            </w:r>
            <w:r w:rsidRPr="00DA1407">
              <w:rPr>
                <w:rFonts w:ascii="Aptos" w:hAnsi="Aptos"/>
                <w:i/>
                <w:iCs/>
                <w:color w:val="0070C0"/>
                <w:sz w:val="22"/>
                <w:szCs w:val="22"/>
              </w:rPr>
              <w:t>; however, given Phase 2b primary endpoints miss, progression to Phase 3 in AD is unlikely</w:t>
            </w:r>
          </w:p>
          <w:p w14:paraId="3A47B2BD" w14:textId="77777777" w:rsidR="00093C38" w:rsidRPr="00093C38" w:rsidRDefault="00093C38" w:rsidP="002E459C">
            <w:pPr>
              <w:pStyle w:val="ListParagraph"/>
              <w:ind w:left="1440"/>
              <w:rPr>
                <w:i/>
                <w:iCs/>
                <w:color w:val="0070C0"/>
                <w:sz w:val="22"/>
                <w:szCs w:val="22"/>
              </w:rPr>
            </w:pPr>
          </w:p>
          <w:p w14:paraId="3794E578" w14:textId="2A01A304" w:rsidR="002E6873" w:rsidRPr="002E6873" w:rsidRDefault="00B533F9" w:rsidP="002E459C">
            <w:pPr>
              <w:rPr>
                <w:b/>
                <w:bCs/>
                <w:color w:val="002060"/>
                <w:sz w:val="28"/>
                <w:szCs w:val="28"/>
              </w:rPr>
            </w:pPr>
            <w:r>
              <w:rPr>
                <w:b/>
                <w:bCs/>
                <w:color w:val="002060"/>
                <w:sz w:val="28"/>
                <w:szCs w:val="28"/>
              </w:rPr>
              <w:t>Why it matters</w:t>
            </w:r>
            <w:r w:rsidR="002E6873" w:rsidRPr="002E6873">
              <w:rPr>
                <w:b/>
                <w:bCs/>
                <w:color w:val="002060"/>
                <w:sz w:val="28"/>
                <w:szCs w:val="28"/>
              </w:rPr>
              <w:t>:</w:t>
            </w:r>
          </w:p>
          <w:p w14:paraId="43376461" w14:textId="77777777" w:rsidR="00F86527" w:rsidRDefault="00F86527" w:rsidP="0062101C">
            <w:pPr>
              <w:pStyle w:val="ListParagraph"/>
              <w:numPr>
                <w:ilvl w:val="0"/>
                <w:numId w:val="1"/>
              </w:numPr>
              <w:rPr>
                <w:rFonts w:ascii="Aptos" w:hAnsi="Aptos" w:cs="Calibri"/>
                <w:sz w:val="22"/>
                <w:szCs w:val="22"/>
                <w:lang w:val="en-GB" w:eastAsia="ja-JP"/>
              </w:rPr>
            </w:pPr>
            <w:r w:rsidRPr="00BA7518">
              <w:rPr>
                <w:rFonts w:ascii="Aptos" w:hAnsi="Aptos" w:cs="Calibri"/>
                <w:sz w:val="22"/>
                <w:szCs w:val="22"/>
                <w:lang w:val="en-GB" w:eastAsia="ja-JP"/>
              </w:rPr>
              <w:t xml:space="preserve">Lunsekimig’s dual-targeting approach (TSLP + IL-13) was expected to outperform single-pathway agents, but the </w:t>
            </w:r>
            <w:r w:rsidRPr="00CF31A7">
              <w:rPr>
                <w:rFonts w:ascii="Aptos" w:hAnsi="Aptos" w:cs="Calibri"/>
                <w:sz w:val="22"/>
                <w:szCs w:val="22"/>
                <w:lang w:val="en-GB" w:eastAsia="ja-JP"/>
              </w:rPr>
              <w:t>lack of differentiation</w:t>
            </w:r>
            <w:r w:rsidRPr="00BA7518">
              <w:rPr>
                <w:rFonts w:ascii="Aptos" w:hAnsi="Aptos" w:cs="Calibri"/>
                <w:b/>
                <w:bCs/>
                <w:sz w:val="22"/>
                <w:szCs w:val="22"/>
                <w:lang w:val="en-GB" w:eastAsia="ja-JP"/>
              </w:rPr>
              <w:t xml:space="preserve"> </w:t>
            </w:r>
            <w:r w:rsidRPr="00BA7518">
              <w:rPr>
                <w:rFonts w:ascii="Aptos" w:hAnsi="Aptos" w:cs="Calibri"/>
                <w:sz w:val="22"/>
                <w:szCs w:val="22"/>
                <w:lang w:val="en-GB" w:eastAsia="ja-JP"/>
              </w:rPr>
              <w:t>reinforces that IL-4/IL-13 blockade via IL-4Rα remains the more effective strategy in AD</w:t>
            </w:r>
          </w:p>
          <w:p w14:paraId="3F12C77D" w14:textId="6F56301B" w:rsidR="00F86527" w:rsidRDefault="00F86527" w:rsidP="0062101C">
            <w:pPr>
              <w:pStyle w:val="ListParagraph"/>
              <w:numPr>
                <w:ilvl w:val="0"/>
                <w:numId w:val="1"/>
              </w:numPr>
              <w:rPr>
                <w:rFonts w:ascii="Aptos" w:hAnsi="Aptos" w:cs="Calibri"/>
                <w:sz w:val="22"/>
                <w:szCs w:val="22"/>
                <w:lang w:val="en-GB" w:eastAsia="ja-JP"/>
              </w:rPr>
            </w:pPr>
            <w:r w:rsidRPr="00434505">
              <w:rPr>
                <w:rFonts w:ascii="Aptos" w:hAnsi="Aptos" w:cs="Calibri"/>
                <w:b/>
                <w:bCs/>
                <w:sz w:val="22"/>
                <w:szCs w:val="22"/>
                <w:lang w:val="en-GB" w:eastAsia="ja-JP"/>
              </w:rPr>
              <w:t xml:space="preserve">VELVET's failure moves the entirety of Sanofi's AD pipeline franchise bet onto </w:t>
            </w:r>
            <w:r w:rsidRPr="00A012AE">
              <w:rPr>
                <w:rFonts w:ascii="Aptos" w:hAnsi="Aptos" w:cs="Calibri"/>
                <w:b/>
                <w:bCs/>
                <w:sz w:val="22"/>
                <w:szCs w:val="22"/>
                <w:lang w:val="en-GB" w:eastAsia="ja-JP"/>
              </w:rPr>
              <w:t>amlitelimab</w:t>
            </w:r>
            <w:r w:rsidRPr="00434505" w:rsidDel="00E939A3">
              <w:rPr>
                <w:rFonts w:ascii="Aptos" w:hAnsi="Aptos" w:cs="Calibri"/>
                <w:b/>
                <w:bCs/>
                <w:sz w:val="22"/>
                <w:szCs w:val="22"/>
                <w:lang w:val="en-GB" w:eastAsia="ja-JP"/>
              </w:rPr>
              <w:t xml:space="preserve"> </w:t>
            </w:r>
            <w:r w:rsidRPr="00434505">
              <w:rPr>
                <w:rFonts w:ascii="Aptos" w:hAnsi="Aptos" w:cs="Calibri"/>
                <w:b/>
                <w:bCs/>
                <w:sz w:val="22"/>
                <w:szCs w:val="22"/>
                <w:lang w:val="en-GB" w:eastAsia="ja-JP"/>
              </w:rPr>
              <w:t>that also carries uncertainties</w:t>
            </w:r>
            <w:r>
              <w:rPr>
                <w:rFonts w:ascii="Aptos" w:hAnsi="Aptos" w:cs="Calibri"/>
                <w:sz w:val="22"/>
                <w:szCs w:val="22"/>
                <w:lang w:val="en-GB" w:eastAsia="ja-JP"/>
              </w:rPr>
              <w:t>; recall,</w:t>
            </w:r>
            <w:r w:rsidRPr="00392CA9">
              <w:rPr>
                <w:rFonts w:ascii="Aptos" w:hAnsi="Aptos" w:cs="Calibri"/>
                <w:sz w:val="22"/>
                <w:szCs w:val="22"/>
                <w:lang w:val="en-GB" w:eastAsia="ja-JP"/>
              </w:rPr>
              <w:t xml:space="preserve"> COAST 2's EU monotherapy </w:t>
            </w:r>
            <w:r>
              <w:rPr>
                <w:rFonts w:ascii="Aptos" w:hAnsi="Aptos" w:cs="Calibri"/>
                <w:sz w:val="22"/>
                <w:szCs w:val="22"/>
                <w:lang w:val="en-GB" w:eastAsia="ja-JP"/>
              </w:rPr>
              <w:t xml:space="preserve">endpoint </w:t>
            </w:r>
            <w:r w:rsidRPr="00392CA9">
              <w:rPr>
                <w:rFonts w:ascii="Aptos" w:hAnsi="Aptos" w:cs="Calibri"/>
                <w:sz w:val="22"/>
                <w:szCs w:val="22"/>
                <w:lang w:val="en-GB" w:eastAsia="ja-JP"/>
              </w:rPr>
              <w:t xml:space="preserve">miss </w:t>
            </w:r>
            <w:r>
              <w:rPr>
                <w:rFonts w:ascii="Aptos" w:hAnsi="Aptos" w:cs="Calibri"/>
                <w:sz w:val="22"/>
                <w:szCs w:val="22"/>
                <w:lang w:val="en-GB" w:eastAsia="ja-JP"/>
              </w:rPr>
              <w:t>makes</w:t>
            </w:r>
            <w:r w:rsidRPr="00392CA9">
              <w:rPr>
                <w:rFonts w:ascii="Aptos" w:hAnsi="Aptos" w:cs="Calibri"/>
                <w:sz w:val="22"/>
                <w:szCs w:val="22"/>
                <w:lang w:val="en-GB" w:eastAsia="ja-JP"/>
              </w:rPr>
              <w:t xml:space="preserve"> the EU regulatory path unclear, and </w:t>
            </w:r>
            <w:hyperlink r:id="rId15" w:history="1">
              <w:r w:rsidRPr="005F72AB">
                <w:rPr>
                  <w:rStyle w:val="Hyperlink"/>
                  <w:rFonts w:ascii="Aptos" w:hAnsi="Aptos" w:cs="Calibri"/>
                  <w:sz w:val="22"/>
                  <w:szCs w:val="22"/>
                  <w:lang w:val="en-GB" w:eastAsia="ja-JP"/>
                </w:rPr>
                <w:t>the Kaposi's sarcoma</w:t>
              </w:r>
            </w:hyperlink>
            <w:r w:rsidRPr="00392CA9">
              <w:rPr>
                <w:rFonts w:ascii="Aptos" w:hAnsi="Aptos" w:cs="Calibri"/>
                <w:sz w:val="22"/>
                <w:szCs w:val="22"/>
                <w:lang w:val="en-GB" w:eastAsia="ja-JP"/>
              </w:rPr>
              <w:t xml:space="preserve"> event</w:t>
            </w:r>
            <w:r>
              <w:rPr>
                <w:rFonts w:ascii="Aptos" w:hAnsi="Aptos" w:cs="Calibri"/>
                <w:sz w:val="22"/>
                <w:szCs w:val="22"/>
                <w:lang w:val="en-GB" w:eastAsia="ja-JP"/>
              </w:rPr>
              <w:t>s</w:t>
            </w:r>
            <w:r w:rsidRPr="00392CA9">
              <w:rPr>
                <w:rFonts w:ascii="Aptos" w:hAnsi="Aptos" w:cs="Calibri"/>
                <w:sz w:val="22"/>
                <w:szCs w:val="22"/>
                <w:lang w:val="en-GB" w:eastAsia="ja-JP"/>
              </w:rPr>
              <w:t xml:space="preserve"> in</w:t>
            </w:r>
            <w:r>
              <w:rPr>
                <w:rFonts w:ascii="Aptos" w:hAnsi="Aptos" w:cs="Calibri"/>
                <w:sz w:val="22"/>
                <w:szCs w:val="22"/>
                <w:lang w:val="en-GB" w:eastAsia="ja-JP"/>
              </w:rPr>
              <w:t xml:space="preserve"> Phase 2</w:t>
            </w:r>
            <w:r w:rsidRPr="00392CA9">
              <w:rPr>
                <w:rFonts w:ascii="Aptos" w:hAnsi="Aptos" w:cs="Calibri"/>
                <w:sz w:val="22"/>
                <w:szCs w:val="22"/>
                <w:lang w:val="en-GB" w:eastAsia="ja-JP"/>
              </w:rPr>
              <w:t xml:space="preserve"> ATLANTIS</w:t>
            </w:r>
            <w:r>
              <w:rPr>
                <w:rFonts w:ascii="Aptos" w:hAnsi="Aptos" w:cs="Calibri"/>
                <w:sz w:val="22"/>
                <w:szCs w:val="22"/>
                <w:lang w:val="en-GB" w:eastAsia="ja-JP"/>
              </w:rPr>
              <w:t xml:space="preserve"> and </w:t>
            </w:r>
            <w:r w:rsidRPr="00A012AE">
              <w:rPr>
                <w:rFonts w:ascii="Aptos" w:hAnsi="Aptos" w:cs="Calibri"/>
                <w:sz w:val="22"/>
                <w:szCs w:val="22"/>
                <w:lang w:val="en-GB" w:eastAsia="ja-JP"/>
              </w:rPr>
              <w:t>Phase 3</w:t>
            </w:r>
            <w:r>
              <w:rPr>
                <w:rFonts w:ascii="Aptos" w:hAnsi="Aptos" w:cs="Calibri"/>
                <w:sz w:val="22"/>
                <w:szCs w:val="22"/>
                <w:lang w:val="en-GB" w:eastAsia="ja-JP"/>
              </w:rPr>
              <w:t xml:space="preserve"> </w:t>
            </w:r>
            <w:r w:rsidRPr="005F72AB">
              <w:rPr>
                <w:rFonts w:ascii="Aptos" w:hAnsi="Aptos" w:cs="Calibri"/>
                <w:sz w:val="22"/>
                <w:szCs w:val="22"/>
                <w:lang w:val="en-GB" w:eastAsia="ja-JP"/>
              </w:rPr>
              <w:t xml:space="preserve">ESTUARY </w:t>
            </w:r>
            <w:r w:rsidRPr="00392CA9">
              <w:rPr>
                <w:rFonts w:ascii="Aptos" w:hAnsi="Aptos" w:cs="Calibri"/>
                <w:sz w:val="22"/>
                <w:szCs w:val="22"/>
                <w:lang w:val="en-GB" w:eastAsia="ja-JP"/>
              </w:rPr>
              <w:t>introduce a</w:t>
            </w:r>
            <w:r>
              <w:rPr>
                <w:rFonts w:ascii="Aptos" w:hAnsi="Aptos" w:cs="Calibri"/>
                <w:sz w:val="22"/>
                <w:szCs w:val="22"/>
                <w:lang w:val="en-GB" w:eastAsia="ja-JP"/>
              </w:rPr>
              <w:t xml:space="preserve">n important </w:t>
            </w:r>
            <w:r w:rsidRPr="00392CA9">
              <w:rPr>
                <w:rFonts w:ascii="Aptos" w:hAnsi="Aptos" w:cs="Calibri"/>
                <w:sz w:val="22"/>
                <w:szCs w:val="22"/>
                <w:lang w:val="en-GB" w:eastAsia="ja-JP"/>
              </w:rPr>
              <w:t xml:space="preserve">safety </w:t>
            </w:r>
            <w:r>
              <w:rPr>
                <w:rFonts w:ascii="Aptos" w:hAnsi="Aptos" w:cs="Calibri"/>
                <w:sz w:val="22"/>
                <w:szCs w:val="22"/>
                <w:lang w:val="en-GB" w:eastAsia="ja-JP"/>
              </w:rPr>
              <w:t>concern</w:t>
            </w:r>
            <w:r w:rsidRPr="00392CA9">
              <w:rPr>
                <w:rFonts w:ascii="Aptos" w:hAnsi="Aptos" w:cs="Calibri"/>
                <w:sz w:val="22"/>
                <w:szCs w:val="22"/>
                <w:lang w:val="en-GB" w:eastAsia="ja-JP"/>
              </w:rPr>
              <w:t xml:space="preserve"> that </w:t>
            </w:r>
            <w:r>
              <w:rPr>
                <w:rFonts w:ascii="Aptos" w:hAnsi="Aptos" w:cs="Calibri"/>
                <w:sz w:val="22"/>
                <w:szCs w:val="22"/>
                <w:lang w:val="en-GB" w:eastAsia="ja-JP"/>
              </w:rPr>
              <w:t>regulators</w:t>
            </w:r>
            <w:r w:rsidRPr="00392CA9">
              <w:rPr>
                <w:rFonts w:ascii="Aptos" w:hAnsi="Aptos" w:cs="Calibri"/>
                <w:sz w:val="22"/>
                <w:szCs w:val="22"/>
                <w:lang w:val="en-GB" w:eastAsia="ja-JP"/>
              </w:rPr>
              <w:t xml:space="preserve"> </w:t>
            </w:r>
            <w:r>
              <w:rPr>
                <w:rFonts w:ascii="Aptos" w:hAnsi="Aptos" w:cs="Calibri"/>
                <w:sz w:val="22"/>
                <w:szCs w:val="22"/>
                <w:lang w:val="en-GB" w:eastAsia="ja-JP"/>
              </w:rPr>
              <w:t xml:space="preserve">may </w:t>
            </w:r>
            <w:r w:rsidRPr="00392CA9">
              <w:rPr>
                <w:rFonts w:ascii="Aptos" w:hAnsi="Aptos" w:cs="Calibri"/>
                <w:sz w:val="22"/>
                <w:szCs w:val="22"/>
                <w:lang w:val="en-GB" w:eastAsia="ja-JP"/>
              </w:rPr>
              <w:t xml:space="preserve">not overlook ahead of a </w:t>
            </w:r>
            <w:r>
              <w:rPr>
                <w:rFonts w:ascii="Aptos" w:hAnsi="Aptos" w:cs="Calibri"/>
                <w:sz w:val="22"/>
                <w:szCs w:val="22"/>
                <w:lang w:val="en-GB" w:eastAsia="ja-JP"/>
              </w:rPr>
              <w:t>potential</w:t>
            </w:r>
            <w:r w:rsidRPr="00392CA9">
              <w:rPr>
                <w:rFonts w:ascii="Aptos" w:hAnsi="Aptos" w:cs="Calibri"/>
                <w:sz w:val="22"/>
                <w:szCs w:val="22"/>
                <w:lang w:val="en-GB" w:eastAsia="ja-JP"/>
              </w:rPr>
              <w:t xml:space="preserve"> submission</w:t>
            </w:r>
          </w:p>
          <w:p w14:paraId="4E7BCF9D" w14:textId="4AA532A2" w:rsidR="00F86527" w:rsidRDefault="00F86527" w:rsidP="0062101C">
            <w:pPr>
              <w:pStyle w:val="ListParagraph"/>
              <w:numPr>
                <w:ilvl w:val="0"/>
                <w:numId w:val="1"/>
              </w:numPr>
              <w:rPr>
                <w:rFonts w:ascii="Aptos" w:hAnsi="Aptos" w:cs="Calibri"/>
                <w:b/>
                <w:bCs/>
                <w:sz w:val="22"/>
                <w:szCs w:val="22"/>
                <w:lang w:val="en-GB" w:eastAsia="ja-JP"/>
              </w:rPr>
            </w:pPr>
            <w:r>
              <w:rPr>
                <w:rFonts w:ascii="Aptos" w:hAnsi="Aptos" w:cs="Calibri"/>
                <w:sz w:val="22"/>
                <w:szCs w:val="22"/>
                <w:lang w:val="en-GB" w:eastAsia="ja-JP"/>
              </w:rPr>
              <w:t xml:space="preserve">Overall, </w:t>
            </w:r>
            <w:r w:rsidR="008B5BBD">
              <w:rPr>
                <w:rFonts w:ascii="Aptos" w:hAnsi="Aptos" w:cs="Calibri"/>
                <w:sz w:val="22"/>
                <w:szCs w:val="22"/>
                <w:lang w:val="en-GB" w:eastAsia="ja-JP"/>
              </w:rPr>
              <w:t>these</w:t>
            </w:r>
            <w:r>
              <w:rPr>
                <w:rFonts w:ascii="Aptos" w:hAnsi="Aptos" w:cs="Calibri"/>
                <w:sz w:val="22"/>
                <w:szCs w:val="22"/>
                <w:lang w:val="en-GB" w:eastAsia="ja-JP"/>
              </w:rPr>
              <w:t xml:space="preserve"> </w:t>
            </w:r>
            <w:r w:rsidR="008B5BBD">
              <w:rPr>
                <w:rFonts w:ascii="Aptos" w:hAnsi="Aptos" w:cs="Calibri"/>
                <w:sz w:val="22"/>
                <w:szCs w:val="22"/>
                <w:lang w:val="en-GB" w:eastAsia="ja-JP"/>
              </w:rPr>
              <w:t>results reflect</w:t>
            </w:r>
            <w:r w:rsidRPr="00EA611A">
              <w:rPr>
                <w:rFonts w:ascii="Aptos" w:hAnsi="Aptos" w:cs="Calibri"/>
                <w:sz w:val="22"/>
                <w:szCs w:val="22"/>
                <w:lang w:val="en-GB" w:eastAsia="ja-JP"/>
              </w:rPr>
              <w:t xml:space="preserve"> Sanofi’s portfolio </w:t>
            </w:r>
            <w:r w:rsidRPr="008B5BBD">
              <w:rPr>
                <w:rFonts w:ascii="Aptos" w:hAnsi="Aptos" w:cs="Calibri"/>
                <w:sz w:val="22"/>
                <w:szCs w:val="22"/>
                <w:lang w:val="en-GB" w:eastAsia="ja-JP"/>
              </w:rPr>
              <w:t>approach of testing assets across multiple indications in parallel and letting the data drive prioritization; while</w:t>
            </w:r>
            <w:r>
              <w:rPr>
                <w:rFonts w:ascii="Aptos" w:hAnsi="Aptos" w:cs="Calibri"/>
                <w:sz w:val="22"/>
                <w:szCs w:val="22"/>
                <w:lang w:val="en-GB" w:eastAsia="ja-JP"/>
              </w:rPr>
              <w:t xml:space="preserve"> </w:t>
            </w:r>
            <w:r w:rsidRPr="00EA611A">
              <w:rPr>
                <w:rFonts w:ascii="Aptos" w:hAnsi="Aptos" w:cs="Calibri"/>
                <w:sz w:val="22"/>
                <w:szCs w:val="22"/>
                <w:lang w:val="en-GB" w:eastAsia="ja-JP"/>
              </w:rPr>
              <w:t xml:space="preserve">this results in visible setbacks (e.g., AD), it avoids premature narrowing of an asset’s potential, with </w:t>
            </w:r>
            <w:r w:rsidRPr="00822BAF">
              <w:rPr>
                <w:rFonts w:ascii="Aptos" w:hAnsi="Aptos" w:cs="Calibri"/>
                <w:b/>
                <w:bCs/>
                <w:sz w:val="22"/>
                <w:szCs w:val="22"/>
                <w:lang w:val="en-GB" w:eastAsia="ja-JP"/>
              </w:rPr>
              <w:t>lunsekimig’s stronger respiratory profile</w:t>
            </w:r>
            <w:r w:rsidRPr="00EA611A">
              <w:rPr>
                <w:rFonts w:ascii="Aptos" w:hAnsi="Aptos" w:cs="Calibri"/>
                <w:sz w:val="22"/>
                <w:szCs w:val="22"/>
                <w:lang w:val="en-GB" w:eastAsia="ja-JP"/>
              </w:rPr>
              <w:t xml:space="preserve"> (asthma, CRSwNP) </w:t>
            </w:r>
            <w:r w:rsidRPr="00822BAF">
              <w:rPr>
                <w:rFonts w:ascii="Aptos" w:hAnsi="Aptos" w:cs="Calibri"/>
                <w:b/>
                <w:bCs/>
                <w:sz w:val="22"/>
                <w:szCs w:val="22"/>
                <w:lang w:val="en-GB" w:eastAsia="ja-JP"/>
              </w:rPr>
              <w:t>effectively justifying the broader exploratory strategy</w:t>
            </w:r>
          </w:p>
          <w:p w14:paraId="56C33185" w14:textId="77777777" w:rsidR="00F86527" w:rsidRPr="00822BAF" w:rsidRDefault="00F86527" w:rsidP="00F86527">
            <w:pPr>
              <w:pStyle w:val="ListParagraph"/>
              <w:rPr>
                <w:rFonts w:ascii="Aptos" w:hAnsi="Aptos" w:cs="Calibri"/>
                <w:b/>
                <w:bCs/>
                <w:sz w:val="22"/>
                <w:szCs w:val="22"/>
                <w:lang w:val="en-GB" w:eastAsia="ja-JP"/>
              </w:rPr>
            </w:pPr>
          </w:p>
          <w:p w14:paraId="6CA81F79" w14:textId="6CDB3F46" w:rsidR="002E6873" w:rsidRPr="002E6873" w:rsidRDefault="00B533F9" w:rsidP="002E459C">
            <w:pPr>
              <w:rPr>
                <w:b/>
                <w:bCs/>
                <w:color w:val="002060"/>
                <w:sz w:val="28"/>
                <w:szCs w:val="28"/>
              </w:rPr>
            </w:pPr>
            <w:r>
              <w:rPr>
                <w:b/>
                <w:bCs/>
                <w:color w:val="002060"/>
                <w:sz w:val="28"/>
                <w:szCs w:val="28"/>
              </w:rPr>
              <w:t>Tell me more</w:t>
            </w:r>
            <w:r w:rsidR="002E6873" w:rsidRPr="002E6873">
              <w:rPr>
                <w:b/>
                <w:bCs/>
                <w:color w:val="002060"/>
                <w:sz w:val="28"/>
                <w:szCs w:val="28"/>
              </w:rPr>
              <w:t>:</w:t>
            </w:r>
          </w:p>
          <w:p w14:paraId="00A742F7" w14:textId="77777777" w:rsidR="0062101C" w:rsidRPr="00DA1407" w:rsidRDefault="0062101C" w:rsidP="0062101C">
            <w:pPr>
              <w:keepNext/>
              <w:rPr>
                <w:rFonts w:ascii="Aptos" w:hAnsi="Aptos" w:cs="Calibri"/>
                <w:b/>
                <w:bCs/>
                <w:color w:val="071D49"/>
                <w:sz w:val="22"/>
                <w:szCs w:val="22"/>
                <w:lang w:eastAsia="ko-KR"/>
              </w:rPr>
            </w:pPr>
            <w:r w:rsidRPr="00DA1407">
              <w:rPr>
                <w:rFonts w:ascii="Aptos" w:hAnsi="Aptos"/>
                <w:b/>
                <w:bCs/>
                <w:color w:val="071D49"/>
                <w:sz w:val="22"/>
                <w:szCs w:val="22"/>
              </w:rPr>
              <w:lastRenderedPageBreak/>
              <w:t>VELVET study</w:t>
            </w:r>
          </w:p>
          <w:p w14:paraId="2BC0A97D" w14:textId="77777777" w:rsidR="0062101C" w:rsidRPr="00DA1407" w:rsidRDefault="0062101C" w:rsidP="0062101C">
            <w:pPr>
              <w:pStyle w:val="ListParagraph"/>
              <w:keepNext/>
              <w:numPr>
                <w:ilvl w:val="0"/>
                <w:numId w:val="1"/>
              </w:numPr>
              <w:rPr>
                <w:rFonts w:ascii="Aptos" w:hAnsi="Aptos" w:cs="Calibri"/>
                <w:color w:val="242424"/>
                <w:sz w:val="22"/>
                <w:szCs w:val="22"/>
                <w:lang w:val="en-GB" w:eastAsia="ja-JP"/>
              </w:rPr>
            </w:pPr>
            <w:r w:rsidRPr="00DA1407">
              <w:rPr>
                <w:rFonts w:ascii="Aptos" w:hAnsi="Aptos" w:cs="Calibri"/>
                <w:b/>
                <w:bCs/>
                <w:color w:val="242424"/>
                <w:sz w:val="22"/>
                <w:szCs w:val="22"/>
                <w:lang w:val="en-GB" w:eastAsia="ja-JP"/>
              </w:rPr>
              <w:t>Study design</w:t>
            </w:r>
            <w:r w:rsidRPr="00DA1407">
              <w:rPr>
                <w:rFonts w:ascii="Aptos" w:hAnsi="Aptos" w:cs="Calibri"/>
                <w:color w:val="242424"/>
                <w:sz w:val="22"/>
                <w:szCs w:val="22"/>
                <w:lang w:val="en-GB" w:eastAsia="ja-JP"/>
              </w:rPr>
              <w:t>: Phase 2b randomized, double-blind, placebo-controlled, multicentre study in adults with moderate-to-severe AD</w:t>
            </w:r>
          </w:p>
          <w:p w14:paraId="1932FD40" w14:textId="77777777" w:rsidR="0062101C" w:rsidRPr="00DA1407" w:rsidRDefault="0062101C" w:rsidP="0062101C">
            <w:pPr>
              <w:pStyle w:val="ListParagraph"/>
              <w:keepNext/>
              <w:numPr>
                <w:ilvl w:val="0"/>
                <w:numId w:val="1"/>
              </w:numPr>
              <w:rPr>
                <w:rFonts w:ascii="Aptos" w:hAnsi="Aptos" w:cs="Calibri"/>
                <w:color w:val="242424"/>
                <w:sz w:val="22"/>
                <w:szCs w:val="22"/>
                <w:lang w:val="en-GB" w:eastAsia="ja-JP"/>
              </w:rPr>
            </w:pPr>
            <w:r w:rsidRPr="00DA1407">
              <w:rPr>
                <w:rFonts w:ascii="Aptos" w:hAnsi="Aptos" w:cs="Calibri"/>
                <w:b/>
                <w:bCs/>
                <w:color w:val="242424"/>
                <w:sz w:val="22"/>
                <w:szCs w:val="22"/>
                <w:lang w:eastAsia="ja-JP"/>
              </w:rPr>
              <w:t>Study duration</w:t>
            </w:r>
            <w:r w:rsidRPr="00DA1407">
              <w:rPr>
                <w:rFonts w:ascii="Aptos" w:hAnsi="Aptos" w:cs="Calibri"/>
                <w:color w:val="242424"/>
                <w:sz w:val="22"/>
                <w:szCs w:val="22"/>
                <w:lang w:eastAsia="ja-JP"/>
              </w:rPr>
              <w:t>: 24 weeks</w:t>
            </w:r>
          </w:p>
          <w:p w14:paraId="542A4140" w14:textId="77777777" w:rsidR="0062101C" w:rsidRPr="00DA1407" w:rsidRDefault="0062101C" w:rsidP="0062101C">
            <w:pPr>
              <w:pStyle w:val="ListParagraph"/>
              <w:keepNext/>
              <w:numPr>
                <w:ilvl w:val="0"/>
                <w:numId w:val="1"/>
              </w:numPr>
              <w:rPr>
                <w:rFonts w:ascii="Aptos" w:hAnsi="Aptos" w:cs="Calibri"/>
                <w:color w:val="242424"/>
                <w:sz w:val="22"/>
                <w:szCs w:val="22"/>
                <w:lang w:val="en-GB" w:eastAsia="ja-JP"/>
              </w:rPr>
            </w:pPr>
            <w:r w:rsidRPr="00DA1407">
              <w:rPr>
                <w:rFonts w:ascii="Aptos" w:hAnsi="Aptos" w:cs="Calibri"/>
                <w:b/>
                <w:bCs/>
                <w:color w:val="242424"/>
                <w:sz w:val="22"/>
                <w:szCs w:val="22"/>
                <w:lang w:eastAsia="ja-JP"/>
              </w:rPr>
              <w:t>Dosing</w:t>
            </w:r>
            <w:r w:rsidRPr="00DA1407">
              <w:rPr>
                <w:rFonts w:ascii="Aptos" w:hAnsi="Aptos" w:cs="Calibri"/>
                <w:color w:val="242424"/>
                <w:sz w:val="22"/>
                <w:szCs w:val="22"/>
                <w:lang w:eastAsia="ja-JP"/>
              </w:rPr>
              <w:t>: Three subcutaneous dosing regimens evaluated</w:t>
            </w:r>
          </w:p>
          <w:p w14:paraId="741610E5" w14:textId="77777777" w:rsidR="0062101C" w:rsidRPr="00DA1407" w:rsidRDefault="0062101C" w:rsidP="0062101C">
            <w:pPr>
              <w:pStyle w:val="ListParagraph"/>
              <w:keepNext/>
              <w:numPr>
                <w:ilvl w:val="0"/>
                <w:numId w:val="1"/>
              </w:numPr>
              <w:rPr>
                <w:rFonts w:ascii="Aptos" w:hAnsi="Aptos" w:cs="Calibri"/>
                <w:color w:val="242424"/>
                <w:sz w:val="22"/>
                <w:szCs w:val="22"/>
                <w:lang w:val="en-GB" w:eastAsia="ja-JP"/>
              </w:rPr>
            </w:pPr>
            <w:r w:rsidRPr="00DA1407">
              <w:rPr>
                <w:rFonts w:ascii="Aptos" w:hAnsi="Aptos" w:cs="Calibri"/>
                <w:b/>
                <w:bCs/>
                <w:color w:val="242424"/>
                <w:sz w:val="22"/>
                <w:szCs w:val="22"/>
                <w:lang w:eastAsia="ja-JP"/>
              </w:rPr>
              <w:t>Primary endpoint</w:t>
            </w:r>
            <w:r w:rsidRPr="00DA1407">
              <w:rPr>
                <w:rFonts w:ascii="Aptos" w:hAnsi="Aptos" w:cs="Calibri"/>
                <w:color w:val="242424"/>
                <w:sz w:val="22"/>
                <w:szCs w:val="22"/>
                <w:lang w:eastAsia="ja-JP"/>
              </w:rPr>
              <w:t>: Percent change from baseline in EASI score at Week 24</w:t>
            </w:r>
          </w:p>
          <w:p w14:paraId="0D932538" w14:textId="77777777" w:rsidR="0062101C" w:rsidRPr="00DA1407" w:rsidRDefault="0062101C" w:rsidP="0062101C">
            <w:pPr>
              <w:pStyle w:val="ListParagraph"/>
              <w:keepNext/>
              <w:numPr>
                <w:ilvl w:val="0"/>
                <w:numId w:val="1"/>
              </w:numPr>
              <w:rPr>
                <w:rFonts w:ascii="Aptos" w:hAnsi="Aptos" w:cs="Calibri"/>
                <w:b/>
                <w:bCs/>
                <w:color w:val="242424"/>
                <w:sz w:val="22"/>
                <w:szCs w:val="22"/>
                <w:lang w:val="en-GB" w:eastAsia="ja-JP"/>
              </w:rPr>
            </w:pPr>
            <w:r w:rsidRPr="00DA1407">
              <w:rPr>
                <w:rFonts w:ascii="Aptos" w:hAnsi="Aptos" w:cs="Calibri"/>
                <w:b/>
                <w:bCs/>
                <w:color w:val="242424"/>
                <w:sz w:val="22"/>
                <w:szCs w:val="22"/>
                <w:lang w:eastAsia="ja-JP"/>
              </w:rPr>
              <w:t>Key secondary endpoints:</w:t>
            </w:r>
          </w:p>
          <w:p w14:paraId="61078AEA" w14:textId="77777777" w:rsidR="0062101C" w:rsidRPr="00DA1407" w:rsidRDefault="0062101C" w:rsidP="0062101C">
            <w:pPr>
              <w:pStyle w:val="ListParagraph"/>
              <w:keepNext/>
              <w:numPr>
                <w:ilvl w:val="1"/>
                <w:numId w:val="1"/>
              </w:numPr>
              <w:rPr>
                <w:rFonts w:ascii="Aptos" w:hAnsi="Aptos" w:cs="Calibri"/>
                <w:color w:val="242424"/>
                <w:sz w:val="22"/>
                <w:szCs w:val="22"/>
                <w:lang w:val="en-GB" w:eastAsia="ja-JP"/>
              </w:rPr>
            </w:pPr>
            <w:r w:rsidRPr="00DA1407">
              <w:rPr>
                <w:rFonts w:ascii="Aptos" w:hAnsi="Aptos" w:cs="Calibri"/>
                <w:color w:val="242424"/>
                <w:sz w:val="22"/>
                <w:szCs w:val="22"/>
                <w:lang w:eastAsia="ja-JP"/>
              </w:rPr>
              <w:t>EASI-75 (≥75% improvement in EASI score)</w:t>
            </w:r>
          </w:p>
          <w:p w14:paraId="79692E56" w14:textId="77777777" w:rsidR="0062101C" w:rsidRPr="00DA1407" w:rsidRDefault="0062101C" w:rsidP="0062101C">
            <w:pPr>
              <w:pStyle w:val="ListParagraph"/>
              <w:keepNext/>
              <w:numPr>
                <w:ilvl w:val="1"/>
                <w:numId w:val="1"/>
              </w:numPr>
              <w:rPr>
                <w:rFonts w:ascii="Aptos" w:hAnsi="Aptos" w:cs="Calibri"/>
                <w:color w:val="242424"/>
                <w:sz w:val="22"/>
                <w:szCs w:val="22"/>
                <w:lang w:val="en-GB" w:eastAsia="ja-JP"/>
              </w:rPr>
            </w:pPr>
            <w:r w:rsidRPr="00DA1407">
              <w:rPr>
                <w:rFonts w:ascii="Aptos" w:hAnsi="Aptos" w:cs="Calibri"/>
                <w:color w:val="242424"/>
                <w:sz w:val="22"/>
                <w:szCs w:val="22"/>
                <w:lang w:eastAsia="ja-JP"/>
              </w:rPr>
              <w:t>vIGA-AD 0/1 (clear or almost clear skin)</w:t>
            </w:r>
          </w:p>
          <w:p w14:paraId="532398B2" w14:textId="77777777" w:rsidR="0062101C" w:rsidRPr="00DA1407" w:rsidRDefault="0062101C" w:rsidP="0062101C">
            <w:pPr>
              <w:pStyle w:val="ListParagraph"/>
              <w:keepNext/>
              <w:numPr>
                <w:ilvl w:val="0"/>
                <w:numId w:val="1"/>
              </w:numPr>
              <w:rPr>
                <w:rFonts w:ascii="Aptos" w:hAnsi="Aptos" w:cs="Calibri"/>
                <w:color w:val="242424"/>
                <w:sz w:val="22"/>
                <w:szCs w:val="22"/>
                <w:lang w:val="en-GB" w:eastAsia="ja-JP"/>
              </w:rPr>
            </w:pPr>
            <w:r w:rsidRPr="00DA1407">
              <w:rPr>
                <w:rFonts w:ascii="Aptos" w:hAnsi="Aptos" w:cs="Calibri"/>
                <w:b/>
                <w:bCs/>
                <w:color w:val="242424"/>
                <w:sz w:val="22"/>
                <w:szCs w:val="22"/>
                <w:lang w:val="en-GB" w:eastAsia="ja-JP"/>
              </w:rPr>
              <w:t>Results:</w:t>
            </w:r>
          </w:p>
          <w:p w14:paraId="17A5BD75" w14:textId="77777777" w:rsidR="0062101C" w:rsidRPr="005447B0" w:rsidRDefault="0062101C" w:rsidP="0062101C">
            <w:pPr>
              <w:pStyle w:val="ListParagraph"/>
              <w:keepNext/>
              <w:numPr>
                <w:ilvl w:val="1"/>
                <w:numId w:val="1"/>
              </w:numPr>
              <w:rPr>
                <w:rFonts w:ascii="Aptos" w:hAnsi="Aptos" w:cs="Calibri"/>
                <w:i/>
                <w:iCs/>
                <w:color w:val="0070C0"/>
                <w:sz w:val="22"/>
                <w:szCs w:val="22"/>
                <w:lang w:val="en-GB" w:eastAsia="ja-JP"/>
              </w:rPr>
            </w:pPr>
            <w:r w:rsidRPr="00DA1407">
              <w:rPr>
                <w:rFonts w:ascii="Aptos" w:hAnsi="Aptos" w:cs="Calibri"/>
                <w:color w:val="242424"/>
                <w:sz w:val="22"/>
                <w:szCs w:val="22"/>
                <w:lang w:eastAsia="ja-JP"/>
              </w:rPr>
              <w:t xml:space="preserve">Primary endpoint </w:t>
            </w:r>
            <w:r w:rsidRPr="00DA1407">
              <w:rPr>
                <w:rFonts w:ascii="Aptos" w:hAnsi="Aptos" w:cs="Calibri"/>
                <w:b/>
                <w:bCs/>
                <w:color w:val="242424"/>
                <w:sz w:val="22"/>
                <w:szCs w:val="22"/>
                <w:lang w:eastAsia="ja-JP"/>
              </w:rPr>
              <w:t>not met</w:t>
            </w:r>
            <w:r w:rsidRPr="00DA1407">
              <w:rPr>
                <w:rFonts w:ascii="Aptos" w:hAnsi="Aptos" w:cs="Calibri"/>
                <w:color w:val="242424"/>
                <w:sz w:val="22"/>
                <w:szCs w:val="22"/>
                <w:lang w:eastAsia="ja-JP"/>
              </w:rPr>
              <w:t xml:space="preserve">, </w:t>
            </w:r>
            <w:r w:rsidRPr="005447B0">
              <w:rPr>
                <w:rFonts w:ascii="Aptos" w:hAnsi="Aptos" w:cs="Calibri"/>
                <w:i/>
                <w:iCs/>
                <w:color w:val="0070C0"/>
                <w:sz w:val="22"/>
                <w:szCs w:val="22"/>
                <w:lang w:eastAsia="ja-JP"/>
              </w:rPr>
              <w:t>indicating lack of significant overall efficacy vs placebo</w:t>
            </w:r>
          </w:p>
          <w:p w14:paraId="4C61EE58" w14:textId="77777777" w:rsidR="0062101C" w:rsidRPr="005447B0" w:rsidRDefault="0062101C" w:rsidP="0062101C">
            <w:pPr>
              <w:pStyle w:val="ListParagraph"/>
              <w:keepNext/>
              <w:numPr>
                <w:ilvl w:val="1"/>
                <w:numId w:val="1"/>
              </w:numPr>
              <w:rPr>
                <w:rFonts w:ascii="Aptos" w:hAnsi="Aptos" w:cs="Calibri"/>
                <w:i/>
                <w:iCs/>
                <w:color w:val="0070C0"/>
                <w:sz w:val="22"/>
                <w:szCs w:val="22"/>
                <w:lang w:val="en-GB" w:eastAsia="ja-JP"/>
              </w:rPr>
            </w:pPr>
            <w:r w:rsidRPr="00DA1407">
              <w:rPr>
                <w:rFonts w:ascii="Aptos" w:hAnsi="Aptos" w:cs="Calibri"/>
                <w:color w:val="242424"/>
                <w:sz w:val="22"/>
                <w:szCs w:val="22"/>
                <w:lang w:eastAsia="ja-JP"/>
              </w:rPr>
              <w:t xml:space="preserve">Secondary endpoints showed </w:t>
            </w:r>
            <w:r w:rsidRPr="00DA1407">
              <w:rPr>
                <w:rFonts w:ascii="Aptos" w:hAnsi="Aptos" w:cs="Calibri"/>
                <w:b/>
                <w:bCs/>
                <w:color w:val="242424"/>
                <w:sz w:val="22"/>
                <w:szCs w:val="22"/>
                <w:lang w:eastAsia="ja-JP"/>
              </w:rPr>
              <w:t>improvements in skin clearance</w:t>
            </w:r>
            <w:r w:rsidRPr="00DA1407">
              <w:rPr>
                <w:rFonts w:ascii="Aptos" w:hAnsi="Aptos" w:cs="Calibri"/>
                <w:color w:val="242424"/>
                <w:sz w:val="22"/>
                <w:szCs w:val="22"/>
                <w:lang w:eastAsia="ja-JP"/>
              </w:rPr>
              <w:t xml:space="preserve">, </w:t>
            </w:r>
            <w:r w:rsidRPr="005447B0">
              <w:rPr>
                <w:rFonts w:ascii="Aptos" w:hAnsi="Aptos" w:cs="Calibri"/>
                <w:i/>
                <w:iCs/>
                <w:color w:val="0070C0"/>
                <w:sz w:val="22"/>
                <w:szCs w:val="22"/>
                <w:lang w:eastAsia="ja-JP"/>
              </w:rPr>
              <w:t>suggesting partial efficacy signal</w:t>
            </w:r>
          </w:p>
          <w:p w14:paraId="640192B0" w14:textId="72386FA0" w:rsidR="0062101C" w:rsidRPr="00DA1407" w:rsidRDefault="0062101C" w:rsidP="0062101C">
            <w:pPr>
              <w:pStyle w:val="ListParagraph"/>
              <w:keepNext/>
              <w:numPr>
                <w:ilvl w:val="1"/>
                <w:numId w:val="1"/>
              </w:numPr>
              <w:rPr>
                <w:rFonts w:ascii="Aptos" w:hAnsi="Aptos" w:cs="Calibri"/>
                <w:color w:val="242424"/>
                <w:sz w:val="22"/>
                <w:szCs w:val="22"/>
                <w:lang w:val="en-GB" w:eastAsia="ja-JP"/>
              </w:rPr>
            </w:pPr>
            <w:r w:rsidRPr="00DA1407">
              <w:rPr>
                <w:rFonts w:ascii="Aptos" w:hAnsi="Aptos" w:cs="Calibri"/>
                <w:color w:val="242424"/>
                <w:sz w:val="22"/>
                <w:szCs w:val="22"/>
                <w:lang w:eastAsia="ja-JP"/>
              </w:rPr>
              <w:t xml:space="preserve">Safety profile </w:t>
            </w:r>
            <w:r w:rsidRPr="00DA1407">
              <w:rPr>
                <w:rFonts w:ascii="Aptos" w:hAnsi="Aptos" w:cs="Calibri"/>
                <w:b/>
                <w:bCs/>
                <w:color w:val="242424"/>
                <w:sz w:val="22"/>
                <w:szCs w:val="22"/>
                <w:lang w:eastAsia="ja-JP"/>
              </w:rPr>
              <w:t xml:space="preserve">consistent </w:t>
            </w:r>
            <w:r>
              <w:rPr>
                <w:rFonts w:ascii="Aptos" w:hAnsi="Aptos" w:cs="Calibri"/>
                <w:color w:val="242424"/>
                <w:sz w:val="22"/>
                <w:szCs w:val="22"/>
                <w:lang w:eastAsia="ja-JP"/>
              </w:rPr>
              <w:t xml:space="preserve">with other studies </w:t>
            </w:r>
            <w:r w:rsidRPr="00DA1407">
              <w:rPr>
                <w:rFonts w:ascii="Aptos" w:hAnsi="Aptos" w:cs="Calibri"/>
                <w:b/>
                <w:bCs/>
                <w:color w:val="242424"/>
                <w:sz w:val="22"/>
                <w:szCs w:val="22"/>
                <w:lang w:eastAsia="ja-JP"/>
              </w:rPr>
              <w:t>and well tolerated</w:t>
            </w:r>
          </w:p>
          <w:p w14:paraId="70271920" w14:textId="34BB9A29" w:rsidR="00510DAE" w:rsidRPr="00510DAE" w:rsidRDefault="0062101C" w:rsidP="0062101C">
            <w:pPr>
              <w:pStyle w:val="ListParagraph"/>
              <w:numPr>
                <w:ilvl w:val="0"/>
                <w:numId w:val="1"/>
              </w:numPr>
              <w:spacing w:after="160"/>
              <w:rPr>
                <w:color w:val="002060"/>
                <w:sz w:val="22"/>
                <w:szCs w:val="22"/>
              </w:rPr>
            </w:pPr>
            <w:r w:rsidRPr="00DA1407">
              <w:rPr>
                <w:rFonts w:ascii="Aptos" w:hAnsi="Aptos" w:cs="Calibri"/>
                <w:color w:val="242424"/>
                <w:sz w:val="22"/>
                <w:szCs w:val="22"/>
                <w:lang w:eastAsia="ja-JP"/>
              </w:rPr>
              <w:t xml:space="preserve">Full results expected at upcoming medical congresses </w:t>
            </w:r>
            <w:r w:rsidRPr="00DA1407">
              <w:rPr>
                <w:rFonts w:ascii="Aptos" w:hAnsi="Aptos" w:cs="Calibri"/>
                <w:i/>
                <w:iCs/>
                <w:color w:val="242424"/>
                <w:sz w:val="22"/>
                <w:szCs w:val="22"/>
                <w:lang w:eastAsia="ja-JP"/>
              </w:rPr>
              <w:t>(</w:t>
            </w:r>
            <w:r w:rsidRPr="00DA1407">
              <w:rPr>
                <w:rFonts w:ascii="Aptos" w:hAnsi="Aptos" w:cs="Calibri"/>
                <w:i/>
                <w:iCs/>
                <w:color w:val="0070C0"/>
                <w:sz w:val="22"/>
                <w:szCs w:val="22"/>
                <w:lang w:eastAsia="ja-JP"/>
              </w:rPr>
              <w:t>no further details disclosed</w:t>
            </w:r>
            <w:r>
              <w:rPr>
                <w:rFonts w:ascii="Aptos" w:hAnsi="Aptos" w:cs="Calibri"/>
                <w:i/>
                <w:iCs/>
                <w:color w:val="0070C0"/>
                <w:sz w:val="22"/>
                <w:szCs w:val="22"/>
                <w:lang w:eastAsia="ja-JP"/>
              </w:rPr>
              <w:t>)</w:t>
            </w: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16">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17"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18">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19">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0">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1">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2">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23">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4">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phelie Vaporidou" w:date="2026-04-07T15:50:00Z" w:initials="NV">
    <w:p w14:paraId="2693C94A" w14:textId="77777777" w:rsidR="00EA2C0A" w:rsidRDefault="00EA2C0A" w:rsidP="005140D2">
      <w:pPr>
        <w:pStyle w:val="CommentText"/>
      </w:pPr>
      <w:r>
        <w:rPr>
          <w:rStyle w:val="CommentReference"/>
        </w:rPr>
        <w:annotationRef/>
      </w:r>
      <w:r>
        <w:t>Do we still estimate that if they failed their Ph2?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93C94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BFDE1" w16cex:dateUtc="2026-04-07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93C94A" w16cid:durableId="23CBFD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2" w15:restartNumberingAfterBreak="0">
    <w:nsid w:val="2CF440ED"/>
    <w:multiLevelType w:val="hybridMultilevel"/>
    <w:tmpl w:val="1E1460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E4A2D"/>
    <w:multiLevelType w:val="hybridMultilevel"/>
    <w:tmpl w:val="167CFF5E"/>
    <w:lvl w:ilvl="0" w:tplc="70201F86">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Times New Roman"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num w:numId="1" w16cid:durableId="366764156">
    <w:abstractNumId w:val="3"/>
  </w:num>
  <w:num w:numId="2" w16cid:durableId="1425108719">
    <w:abstractNumId w:val="5"/>
  </w:num>
  <w:num w:numId="3" w16cid:durableId="1255942747">
    <w:abstractNumId w:val="1"/>
  </w:num>
  <w:num w:numId="4" w16cid:durableId="1777090632">
    <w:abstractNumId w:val="4"/>
  </w:num>
  <w:num w:numId="5" w16cid:durableId="1435395516">
    <w:abstractNumId w:val="2"/>
  </w:num>
  <w:num w:numId="6" w16cid:durableId="10070941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phelie Vaporidou">
    <w15:presenceInfo w15:providerId="AD" w15:userId="S::nepheliev@eradigm.com::fb8c8f48-833d-4996-a2c6-17b5e0f69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587B"/>
    <w:rsid w:val="0001479E"/>
    <w:rsid w:val="000158F9"/>
    <w:rsid w:val="00017A79"/>
    <w:rsid w:val="00022C2C"/>
    <w:rsid w:val="000248DF"/>
    <w:rsid w:val="00025AB5"/>
    <w:rsid w:val="0004285C"/>
    <w:rsid w:val="000522EC"/>
    <w:rsid w:val="000650C3"/>
    <w:rsid w:val="00093C38"/>
    <w:rsid w:val="000940AF"/>
    <w:rsid w:val="000965FC"/>
    <w:rsid w:val="000A5754"/>
    <w:rsid w:val="000C111C"/>
    <w:rsid w:val="000D3533"/>
    <w:rsid w:val="00105672"/>
    <w:rsid w:val="00117BE6"/>
    <w:rsid w:val="00133D86"/>
    <w:rsid w:val="00142839"/>
    <w:rsid w:val="001572B1"/>
    <w:rsid w:val="0018227E"/>
    <w:rsid w:val="00185947"/>
    <w:rsid w:val="00186450"/>
    <w:rsid w:val="001972A4"/>
    <w:rsid w:val="001B5E7F"/>
    <w:rsid w:val="001D069A"/>
    <w:rsid w:val="001E5BF5"/>
    <w:rsid w:val="001F128F"/>
    <w:rsid w:val="001F701F"/>
    <w:rsid w:val="002013FD"/>
    <w:rsid w:val="00205D74"/>
    <w:rsid w:val="002101C7"/>
    <w:rsid w:val="00210630"/>
    <w:rsid w:val="00217930"/>
    <w:rsid w:val="00232814"/>
    <w:rsid w:val="00235632"/>
    <w:rsid w:val="002363F7"/>
    <w:rsid w:val="00245EB5"/>
    <w:rsid w:val="00265A02"/>
    <w:rsid w:val="00296DAA"/>
    <w:rsid w:val="002A6530"/>
    <w:rsid w:val="002B1B27"/>
    <w:rsid w:val="002C2D65"/>
    <w:rsid w:val="002E459C"/>
    <w:rsid w:val="002E6873"/>
    <w:rsid w:val="002E7636"/>
    <w:rsid w:val="002F3679"/>
    <w:rsid w:val="00312686"/>
    <w:rsid w:val="0033006F"/>
    <w:rsid w:val="00330177"/>
    <w:rsid w:val="00331521"/>
    <w:rsid w:val="00342D53"/>
    <w:rsid w:val="00350443"/>
    <w:rsid w:val="00365CA8"/>
    <w:rsid w:val="00372D1B"/>
    <w:rsid w:val="00377322"/>
    <w:rsid w:val="003906CB"/>
    <w:rsid w:val="003A2D3C"/>
    <w:rsid w:val="003A6D7C"/>
    <w:rsid w:val="003F1937"/>
    <w:rsid w:val="003F5EDB"/>
    <w:rsid w:val="003F7618"/>
    <w:rsid w:val="00403567"/>
    <w:rsid w:val="004071CB"/>
    <w:rsid w:val="00420E68"/>
    <w:rsid w:val="00444DC2"/>
    <w:rsid w:val="00470F98"/>
    <w:rsid w:val="004C01C4"/>
    <w:rsid w:val="004C5A75"/>
    <w:rsid w:val="004D076F"/>
    <w:rsid w:val="004D2A9F"/>
    <w:rsid w:val="004E3495"/>
    <w:rsid w:val="004E451B"/>
    <w:rsid w:val="004F501C"/>
    <w:rsid w:val="004F798F"/>
    <w:rsid w:val="005107B6"/>
    <w:rsid w:val="00510DAE"/>
    <w:rsid w:val="005149A9"/>
    <w:rsid w:val="00530947"/>
    <w:rsid w:val="00533B7E"/>
    <w:rsid w:val="0053610D"/>
    <w:rsid w:val="00576496"/>
    <w:rsid w:val="005779A3"/>
    <w:rsid w:val="00577F2B"/>
    <w:rsid w:val="00587EDC"/>
    <w:rsid w:val="005926FD"/>
    <w:rsid w:val="005E56EC"/>
    <w:rsid w:val="005F6A37"/>
    <w:rsid w:val="00606142"/>
    <w:rsid w:val="006113A8"/>
    <w:rsid w:val="0062101C"/>
    <w:rsid w:val="00630730"/>
    <w:rsid w:val="0064137C"/>
    <w:rsid w:val="00667DDC"/>
    <w:rsid w:val="0068305C"/>
    <w:rsid w:val="0069530B"/>
    <w:rsid w:val="006A3E27"/>
    <w:rsid w:val="006A6CD3"/>
    <w:rsid w:val="006D4D77"/>
    <w:rsid w:val="00727E7A"/>
    <w:rsid w:val="00747ADB"/>
    <w:rsid w:val="00764C3C"/>
    <w:rsid w:val="007664D2"/>
    <w:rsid w:val="0078791E"/>
    <w:rsid w:val="0080257B"/>
    <w:rsid w:val="00804CB7"/>
    <w:rsid w:val="00812EA6"/>
    <w:rsid w:val="0081682C"/>
    <w:rsid w:val="00836625"/>
    <w:rsid w:val="008626B9"/>
    <w:rsid w:val="0086423C"/>
    <w:rsid w:val="0086594E"/>
    <w:rsid w:val="00866724"/>
    <w:rsid w:val="00873ED7"/>
    <w:rsid w:val="00874C74"/>
    <w:rsid w:val="00893A23"/>
    <w:rsid w:val="008965BF"/>
    <w:rsid w:val="008B5BBD"/>
    <w:rsid w:val="008C03A1"/>
    <w:rsid w:val="008F39A3"/>
    <w:rsid w:val="00925F70"/>
    <w:rsid w:val="00933BD4"/>
    <w:rsid w:val="009406E7"/>
    <w:rsid w:val="009407B8"/>
    <w:rsid w:val="00941121"/>
    <w:rsid w:val="00942C19"/>
    <w:rsid w:val="00953D86"/>
    <w:rsid w:val="0096327E"/>
    <w:rsid w:val="00970145"/>
    <w:rsid w:val="009F5CD2"/>
    <w:rsid w:val="00A012AE"/>
    <w:rsid w:val="00A03C13"/>
    <w:rsid w:val="00A30B42"/>
    <w:rsid w:val="00A355BB"/>
    <w:rsid w:val="00A63C55"/>
    <w:rsid w:val="00A66975"/>
    <w:rsid w:val="00A930DA"/>
    <w:rsid w:val="00A9326B"/>
    <w:rsid w:val="00A95319"/>
    <w:rsid w:val="00AA20E6"/>
    <w:rsid w:val="00AD4EE3"/>
    <w:rsid w:val="00AF2881"/>
    <w:rsid w:val="00AF7F7F"/>
    <w:rsid w:val="00B038CF"/>
    <w:rsid w:val="00B327A6"/>
    <w:rsid w:val="00B533F9"/>
    <w:rsid w:val="00B66789"/>
    <w:rsid w:val="00B67E2F"/>
    <w:rsid w:val="00B82084"/>
    <w:rsid w:val="00BB4E68"/>
    <w:rsid w:val="00BD2462"/>
    <w:rsid w:val="00BD5D4B"/>
    <w:rsid w:val="00BF526A"/>
    <w:rsid w:val="00C21ABE"/>
    <w:rsid w:val="00C34B27"/>
    <w:rsid w:val="00C41D4D"/>
    <w:rsid w:val="00C448E9"/>
    <w:rsid w:val="00C7091E"/>
    <w:rsid w:val="00C736D7"/>
    <w:rsid w:val="00C84540"/>
    <w:rsid w:val="00C91B7E"/>
    <w:rsid w:val="00C974C8"/>
    <w:rsid w:val="00CA7702"/>
    <w:rsid w:val="00CB0E62"/>
    <w:rsid w:val="00CE1741"/>
    <w:rsid w:val="00CF31A7"/>
    <w:rsid w:val="00D1476A"/>
    <w:rsid w:val="00D20648"/>
    <w:rsid w:val="00D220FF"/>
    <w:rsid w:val="00D23A08"/>
    <w:rsid w:val="00D34F81"/>
    <w:rsid w:val="00D4705C"/>
    <w:rsid w:val="00D56D32"/>
    <w:rsid w:val="00D572E4"/>
    <w:rsid w:val="00D73313"/>
    <w:rsid w:val="00D87631"/>
    <w:rsid w:val="00DC62B7"/>
    <w:rsid w:val="00DE7C85"/>
    <w:rsid w:val="00E36BAA"/>
    <w:rsid w:val="00E4085A"/>
    <w:rsid w:val="00E53694"/>
    <w:rsid w:val="00E60CF4"/>
    <w:rsid w:val="00E67065"/>
    <w:rsid w:val="00E76886"/>
    <w:rsid w:val="00E929EE"/>
    <w:rsid w:val="00EA2C0A"/>
    <w:rsid w:val="00ED65DC"/>
    <w:rsid w:val="00EF6440"/>
    <w:rsid w:val="00F004CA"/>
    <w:rsid w:val="00F04990"/>
    <w:rsid w:val="00F069E1"/>
    <w:rsid w:val="00F14D1B"/>
    <w:rsid w:val="00F165C5"/>
    <w:rsid w:val="00F43A37"/>
    <w:rsid w:val="00F56829"/>
    <w:rsid w:val="00F616E7"/>
    <w:rsid w:val="00F66394"/>
    <w:rsid w:val="00F722E5"/>
    <w:rsid w:val="00F8516C"/>
    <w:rsid w:val="00F86527"/>
    <w:rsid w:val="00F90091"/>
    <w:rsid w:val="00F934F9"/>
    <w:rsid w:val="00FA2534"/>
    <w:rsid w:val="00FB75D6"/>
    <w:rsid w:val="1694455E"/>
    <w:rsid w:val="2A974927"/>
    <w:rsid w:val="50FEE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630C6CD4-A1F4-4129-9009-FADE1567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paragraph" w:styleId="Revision">
    <w:name w:val="Revision"/>
    <w:hidden/>
    <w:uiPriority w:val="99"/>
    <w:semiHidden/>
    <w:rsid w:val="005E56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mailto:luke.versten@abbvie.com"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mailto:priti.anand@abbvie.com"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mailto:bethany.christmann@abbvie.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handa.bhat@abbvie.com" TargetMode="External"/><Relationship Id="rId20" Type="http://schemas.openxmlformats.org/officeDocument/2006/relationships/hyperlink" Target="mailto:irene.knorn@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5" Type="http://schemas.openxmlformats.org/officeDocument/2006/relationships/styles" Target="styles.xml"/><Relationship Id="rId15" Type="http://schemas.openxmlformats.org/officeDocument/2006/relationships/hyperlink" Target="https://www.news.sanofi.us/2026-03-28-AAD-new-results-from-Sanofis-amlitelimab-phase-3-studies-in-atopic-dermatitis-presented-in-late-breaking-research-session" TargetMode="External"/><Relationship Id="rId23"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10" Type="http://schemas.openxmlformats.org/officeDocument/2006/relationships/hyperlink" Target="https://clinicaltrials.gov/study/NCT06790121" TargetMode="External"/><Relationship Id="rId19" Type="http://schemas.openxmlformats.org/officeDocument/2006/relationships/hyperlink" Target="mailto:priti.anand@abbvie.com" TargetMode="External"/><Relationship Id="rId4" Type="http://schemas.openxmlformats.org/officeDocument/2006/relationships/numbering" Target="numbering.xml"/><Relationship Id="rId9" Type="http://schemas.openxmlformats.org/officeDocument/2006/relationships/hyperlink" Target="https://www.sanofi.com/en/media-room/press-releases/2026/2026-04-07-05-00-00-3268809" TargetMode="External"/><Relationship Id="rId14" Type="http://schemas.microsoft.com/office/2018/08/relationships/commentsExtensible" Target="commentsExtensible.xml"/><Relationship Id="rId22"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customXml/itemProps2.xml><?xml version="1.0" encoding="utf-8"?>
<ds:datastoreItem xmlns:ds="http://schemas.openxmlformats.org/officeDocument/2006/customXml" ds:itemID="{BFC2FFB8-7A7E-4172-8690-ACD95034B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05D8F7-73C1-41A5-939A-170D5D14BF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2</Pages>
  <Words>841</Words>
  <Characters>4799</Characters>
  <Application>Microsoft Office Word</Application>
  <DocSecurity>0</DocSecurity>
  <Lines>39</Lines>
  <Paragraphs>11</Paragraphs>
  <ScaleCrop>false</ScaleCrop>
  <Company>Abbvie</Company>
  <LinksUpToDate>false</LinksUpToDate>
  <CharactersWithSpaces>5629</CharactersWithSpaces>
  <SharedDoc>false</SharedDoc>
  <HLinks>
    <vt:vector size="138" baseType="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57</vt:i4>
      </vt:variant>
      <vt:variant>
        <vt:i4>0</vt:i4>
      </vt:variant>
      <vt:variant>
        <vt:i4>5</vt:i4>
      </vt:variant>
      <vt:variant>
        <vt:lpwstr>mailto:priti.anand@abbvie.com</vt:lpwstr>
      </vt:variant>
      <vt:variant>
        <vt:lpwstr/>
      </vt:variant>
      <vt:variant>
        <vt:i4>4849718</vt:i4>
      </vt:variant>
      <vt:variant>
        <vt:i4>54</vt:i4>
      </vt:variant>
      <vt:variant>
        <vt:i4>0</vt:i4>
      </vt:variant>
      <vt:variant>
        <vt:i4>5</vt:i4>
      </vt:variant>
      <vt:variant>
        <vt:lpwstr>mailto:irene.knorn@abbvie.com</vt:lpwstr>
      </vt:variant>
      <vt:variant>
        <vt:lpwstr/>
      </vt:variant>
      <vt:variant>
        <vt:i4>6094896</vt:i4>
      </vt:variant>
      <vt:variant>
        <vt:i4>51</vt:i4>
      </vt:variant>
      <vt:variant>
        <vt:i4>0</vt:i4>
      </vt:variant>
      <vt:variant>
        <vt:i4>5</vt:i4>
      </vt:variant>
      <vt:variant>
        <vt:lpwstr>mailto:priti.anand@abbvie.com</vt:lpwstr>
      </vt:variant>
      <vt:variant>
        <vt:lpwstr/>
      </vt:variant>
      <vt:variant>
        <vt:i4>458863</vt:i4>
      </vt:variant>
      <vt:variant>
        <vt:i4>48</vt:i4>
      </vt:variant>
      <vt:variant>
        <vt:i4>0</vt:i4>
      </vt:variant>
      <vt:variant>
        <vt:i4>5</vt:i4>
      </vt:variant>
      <vt:variant>
        <vt:lpwstr>mailto:luke.versten@abbvie.com</vt:lpwstr>
      </vt:variant>
      <vt:variant>
        <vt:lpwstr/>
      </vt:variant>
      <vt:variant>
        <vt:i4>3276886</vt:i4>
      </vt:variant>
      <vt:variant>
        <vt:i4>45</vt:i4>
      </vt:variant>
      <vt:variant>
        <vt:i4>0</vt:i4>
      </vt:variant>
      <vt:variant>
        <vt:i4>5</vt:i4>
      </vt:variant>
      <vt:variant>
        <vt:lpwstr>mailto:bethany.christmann@abbvie.com</vt:lpwstr>
      </vt:variant>
      <vt:variant>
        <vt:lpwstr/>
      </vt:variant>
      <vt:variant>
        <vt:i4>1900668</vt:i4>
      </vt:variant>
      <vt:variant>
        <vt:i4>42</vt:i4>
      </vt:variant>
      <vt:variant>
        <vt:i4>0</vt:i4>
      </vt:variant>
      <vt:variant>
        <vt:i4>5</vt:i4>
      </vt:variant>
      <vt:variant>
        <vt:lpwstr>mailto:chanda.bhat@abbvie.com</vt:lpwstr>
      </vt:variant>
      <vt:variant>
        <vt:lpwstr/>
      </vt:variant>
      <vt:variant>
        <vt:i4>196612</vt:i4>
      </vt:variant>
      <vt:variant>
        <vt:i4>39</vt:i4>
      </vt:variant>
      <vt:variant>
        <vt:i4>0</vt:i4>
      </vt:variant>
      <vt:variant>
        <vt:i4>5</vt:i4>
      </vt:variant>
      <vt:variant>
        <vt:lpwstr>https://clinicaltrials.gov/study/NCT04797650</vt:lpwstr>
      </vt:variant>
      <vt:variant>
        <vt:lpwstr/>
      </vt:variant>
      <vt:variant>
        <vt:i4>65541</vt:i4>
      </vt:variant>
      <vt:variant>
        <vt:i4>36</vt:i4>
      </vt:variant>
      <vt:variant>
        <vt:i4>0</vt:i4>
      </vt:variant>
      <vt:variant>
        <vt:i4>5</vt:i4>
      </vt:variant>
      <vt:variant>
        <vt:lpwstr>https://clinicaltrials.gov/study/NCT04518995</vt:lpwstr>
      </vt:variant>
      <vt:variant>
        <vt:lpwstr/>
      </vt:variant>
      <vt:variant>
        <vt:i4>3932176</vt:i4>
      </vt:variant>
      <vt:variant>
        <vt:i4>33</vt:i4>
      </vt:variant>
      <vt:variant>
        <vt:i4>0</vt:i4>
      </vt:variant>
      <vt:variant>
        <vt:i4>5</vt:i4>
      </vt:variant>
      <vt:variant>
        <vt:lpwstr>https://www.ema.europa.eu/en/documents/report/applications-new-human-medicines-under-evaluation-march-2026_en.xlsx</vt:lpwstr>
      </vt:variant>
      <vt:variant>
        <vt:lpwstr/>
      </vt:variant>
      <vt:variant>
        <vt:i4>7209015</vt:i4>
      </vt:variant>
      <vt:variant>
        <vt:i4>30</vt:i4>
      </vt:variant>
      <vt:variant>
        <vt:i4>0</vt:i4>
      </vt:variant>
      <vt:variant>
        <vt:i4>5</vt:i4>
      </vt:variant>
      <vt:variant>
        <vt:lpwstr>https://www.canada.ca/en/health-canada/services/drug-health-product-review-approval/submissions-under-review/new-drug-submissions-under-review.html</vt:lpwstr>
      </vt:variant>
      <vt:variant>
        <vt:lpwstr/>
      </vt:variant>
      <vt:variant>
        <vt:i4>7471230</vt:i4>
      </vt:variant>
      <vt:variant>
        <vt:i4>27</vt:i4>
      </vt:variant>
      <vt:variant>
        <vt:i4>0</vt:i4>
      </vt:variant>
      <vt:variant>
        <vt:i4>5</vt:i4>
      </vt:variant>
      <vt:variant>
        <vt:lpwstr>https://sunpharma.com/wp-content/uploads/2024/07/Sunpharma-LEQSELVI-Approval-Scenario-Press-Release.pdf</vt:lpwstr>
      </vt:variant>
      <vt:variant>
        <vt:lpwstr/>
      </vt:variant>
      <vt:variant>
        <vt:i4>4128867</vt:i4>
      </vt:variant>
      <vt:variant>
        <vt:i4>24</vt:i4>
      </vt:variant>
      <vt:variant>
        <vt:i4>0</vt:i4>
      </vt:variant>
      <vt:variant>
        <vt:i4>5</vt:i4>
      </vt:variant>
      <vt:variant>
        <vt:lpwstr>https://www.gov.uk/government/publications/international-recognition-procedure/international-recognition-procedure</vt:lpwstr>
      </vt:variant>
      <vt:variant>
        <vt:lpwstr/>
      </vt:variant>
      <vt:variant>
        <vt:i4>458755</vt:i4>
      </vt:variant>
      <vt:variant>
        <vt:i4>21</vt:i4>
      </vt:variant>
      <vt:variant>
        <vt:i4>0</vt:i4>
      </vt:variant>
      <vt:variant>
        <vt:i4>5</vt:i4>
      </vt:variant>
      <vt:variant>
        <vt:lpwstr>https://clinicaltrials.gov/study/NCT07133308</vt:lpwstr>
      </vt:variant>
      <vt:variant>
        <vt:lpwstr/>
      </vt:variant>
      <vt:variant>
        <vt:i4>655444</vt:i4>
      </vt:variant>
      <vt:variant>
        <vt:i4>18</vt:i4>
      </vt:variant>
      <vt:variant>
        <vt:i4>0</vt:i4>
      </vt:variant>
      <vt:variant>
        <vt:i4>5</vt:i4>
      </vt:variant>
      <vt:variant>
        <vt:lpwstr>https://investor.lilly.com/news-releases/news-release-details/lillys-olumiant-baricitinib-recommended-chmp-approval-expanded</vt:lpwstr>
      </vt:variant>
      <vt:variant>
        <vt:lpwstr/>
      </vt:variant>
      <vt:variant>
        <vt:i4>655444</vt:i4>
      </vt:variant>
      <vt:variant>
        <vt:i4>15</vt:i4>
      </vt:variant>
      <vt:variant>
        <vt:i4>0</vt:i4>
      </vt:variant>
      <vt:variant>
        <vt:i4>5</vt:i4>
      </vt:variant>
      <vt:variant>
        <vt:lpwstr>https://investor.lilly.com/news-releases/news-release-details/lillys-olumiant-baricitinib-recommended-chmp-approval-expanded</vt:lpwstr>
      </vt:variant>
      <vt:variant>
        <vt:lpwstr/>
      </vt:variant>
      <vt:variant>
        <vt:i4>786461</vt:i4>
      </vt:variant>
      <vt:variant>
        <vt:i4>12</vt:i4>
      </vt:variant>
      <vt:variant>
        <vt:i4>0</vt:i4>
      </vt:variant>
      <vt:variant>
        <vt:i4>5</vt:i4>
      </vt:variant>
      <vt:variant>
        <vt:lpwstr>https://products.mhra.gov.uk/</vt:lpwstr>
      </vt:variant>
      <vt:variant>
        <vt:lpwstr/>
      </vt:variant>
      <vt:variant>
        <vt:i4>196612</vt:i4>
      </vt:variant>
      <vt:variant>
        <vt:i4>9</vt:i4>
      </vt:variant>
      <vt:variant>
        <vt:i4>0</vt:i4>
      </vt:variant>
      <vt:variant>
        <vt:i4>5</vt:i4>
      </vt:variant>
      <vt:variant>
        <vt:lpwstr>https://clinicaltrials.gov/study/NCT04797650</vt:lpwstr>
      </vt:variant>
      <vt:variant>
        <vt:lpwstr/>
      </vt:variant>
      <vt:variant>
        <vt:i4>65541</vt:i4>
      </vt:variant>
      <vt:variant>
        <vt:i4>6</vt:i4>
      </vt:variant>
      <vt:variant>
        <vt:i4>0</vt:i4>
      </vt:variant>
      <vt:variant>
        <vt:i4>5</vt:i4>
      </vt:variant>
      <vt:variant>
        <vt:lpwstr>https://clinicaltrials.gov/study/NCT04518995</vt:lpwstr>
      </vt:variant>
      <vt:variant>
        <vt:lpwstr/>
      </vt:variant>
      <vt:variant>
        <vt:i4>3276850</vt:i4>
      </vt:variant>
      <vt:variant>
        <vt:i4>3</vt:i4>
      </vt:variant>
      <vt:variant>
        <vt:i4>0</vt:i4>
      </vt:variant>
      <vt:variant>
        <vt:i4>5</vt:i4>
      </vt:variant>
      <vt:variant>
        <vt:lpwstr>https://www.gov.uk/government/news/mhra-approves-deuruxolitinib-leqselvi-to-treat-severe-alopecia-areata-in-adults</vt:lpwstr>
      </vt:variant>
      <vt:variant>
        <vt:lpwstr/>
      </vt:variant>
      <vt:variant>
        <vt:i4>3276850</vt:i4>
      </vt:variant>
      <vt:variant>
        <vt:i4>0</vt:i4>
      </vt:variant>
      <vt:variant>
        <vt:i4>0</vt:i4>
      </vt:variant>
      <vt:variant>
        <vt:i4>5</vt:i4>
      </vt:variant>
      <vt:variant>
        <vt:lpwstr>https://www.gov.uk/government/news/mhra-approves-deuruxolitinib-leqselvi-to-treat-severe-alopecia-areata-in-adults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Anand, Priti</cp:lastModifiedBy>
  <cp:revision>191</cp:revision>
  <dcterms:created xsi:type="dcterms:W3CDTF">2026-03-06T15:35:00Z</dcterms:created>
  <dcterms:modified xsi:type="dcterms:W3CDTF">2026-04-07T18:09:00Z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