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TITLE: Sonrotoclax Plus Zanubrutinib vs Venetoclax Plus Acalabrutinib in Untreated CLL</w:t>
      </w:r>
    </w:p>
    <w:p>
      <w:pPr>
        <w:pStyle w:val="Heading2"/>
      </w:pPr>
      <w:r>
        <w:t>COMPANY: BeOne Medicines</w:t>
      </w:r>
    </w:p>
    <w:p>
      <w:pPr>
        <w:pStyle w:val="Heading2"/>
      </w:pPr>
      <w:r>
        <w:t>DATE: February 10, 2026</w:t>
      </w:r>
    </w:p>
    <w:p>
      <w:pPr>
        <w:pStyle w:val="Heading2"/>
      </w:pPr>
      <w:r>
        <w:t>WHAT HAPPENED</w:t>
      </w:r>
    </w:p>
    <w:p>
      <w:pPr>
        <w:pStyle w:val="ListBullet"/>
      </w:pPr>
      <w:r>
        <w:t>BeOne Medicines initiated Phase 3 trial (NCT07277231/CELESTIAL-TNCLL-2) comparing sonrotoclax+zanubrutinib vs FDA-approved venetoclax+acalabrutinib in treatment-naïve CLL</w:t>
      </w:r>
    </w:p>
    <w:p>
      <w:pPr>
        <w:pStyle w:val="ListBullet"/>
      </w:pPr>
      <w:r>
        <w:t>Trial directly challenges AstraZeneca/AbbVie's newly approved (Feb 2026) fixed-duration combination as frontline standard of care</w:t>
      </w:r>
    </w:p>
    <w:p>
      <w:pPr>
        <w:pStyle w:val="ListBullet"/>
      </w:pPr>
      <w:r>
        <w:t>Sonrotoclax received FDA Breakthrough Therapy (Oct 2025) and Priority Review (Nov 2025) designations for R/R MCL with PDUFA decision expected April 2026</w:t>
      </w:r>
    </w:p>
    <w:p>
      <w:pPr>
        <w:pStyle w:val="ListBullet"/>
      </w:pPr>
      <w:r>
        <w:t>Study targets 400-500 patients with primary endpoint of investigator-assessed PFS, estimated completion 2028-2029</w:t>
      </w:r>
    </w:p>
    <w:p>
      <w:pPr>
        <w:pStyle w:val="Heading2"/>
      </w:pPr>
      <w:r>
        <w:t>IMPACT (CI PoV): High</w:t>
      </w:r>
    </w:p>
    <w:p>
      <w:pPr>
        <w:pStyle w:val="ListBullet"/>
      </w:pPr>
      <w:r>
        <w:t>Direct head-to-head challenge to AbbVie's venetoclax (Venclexta) market dominance in BCL2 inhibition—threatens $8-12B global CLL market share</w:t>
      </w:r>
    </w:p>
    <w:p>
      <w:pPr>
        <w:pStyle w:val="ListBullet"/>
      </w:pPr>
      <w:r>
        <w:t>Sonrotoclax claims enhanced potency/selectivity vs venetoclax; if proven superior, could erode AbbVie's installed base and physician loyalty</w:t>
      </w:r>
    </w:p>
    <w:p>
      <w:pPr>
        <w:pStyle w:val="ListBullet"/>
      </w:pPr>
      <w:r>
        <w:t>BeOne's zanubrutinib posted 49% YoY growth ($950M Q2 2025); combination strategy leverages existing BTK inhibitor momentum against AbbVie/AstraZeneca duopoly</w:t>
      </w:r>
    </w:p>
    <w:p>
      <w:pPr>
        <w:pStyle w:val="ListBullet"/>
      </w:pPr>
      <w:r>
        <w:t>Indirect comparison data shows zanubrutinib monotherapy outperforms acalabrutinib-venetoclax in low-risk patients (HR=0.68, P=0.0448)—validates BeOne's competitive positioning</w:t>
      </w:r>
    </w:p>
    <w:p>
      <w:pPr>
        <w:pStyle w:val="ListBullet"/>
      </w:pPr>
      <w:r>
        <w:t>Peak sales potential $2-4B annually for sonrotoclax-zanubrutinib combo threatens AbbVie's venetoclax franchise extending through 2030s patent protection</w:t>
      </w:r>
    </w:p>
    <w:p>
      <w:pPr>
        <w:pStyle w:val="Heading2"/>
      </w:pPr>
      <w:r>
        <w:t>WHY IT MATTERS</w:t>
      </w:r>
    </w:p>
    <w:p>
      <w:pPr>
        <w:pStyle w:val="ListBullet"/>
      </w:pPr>
      <w:r>
        <w:t>Fixed-duration BCL2/BTK combinations represent paradigm shift from continuous therapy—trial validates this strategic direction and intensifies competition</w:t>
      </w:r>
    </w:p>
    <w:p>
      <w:pPr>
        <w:pStyle w:val="ListBullet"/>
      </w:pPr>
      <w:r>
        <w:t>Regulatory momentum (Breakthrough/Priority Review) accelerates BeOne's market entry timeline, compressing AbbVie's window to establish venetoclax-acalabrutinib dominance</w:t>
      </w:r>
    </w:p>
    <w:p>
      <w:pPr>
        <w:pStyle w:val="ListBullet"/>
      </w:pPr>
      <w:r>
        <w:t>Multiple parallel Phase 3 trials (NCT06073821, NCT06943872, NCT06637501) demonstrate aggressive development strategy across treatment settings—signals sustained competitive pressure</w:t>
      </w:r>
    </w:p>
    <w:p>
      <w:pPr>
        <w:pStyle w:val="ListBullet"/>
      </w:pPr>
      <w:r>
        <w:t>Success could establish next-generation BCL2 inhibition standard, forcing AbbVie to respond with venetoclax lifecycle management or novel agent development</w:t>
      </w:r>
    </w:p>
    <w:p>
      <w:pPr>
        <w:pStyle w:val="Heading2"/>
      </w:pPr>
      <w:r>
        <w:t>TELL ME MORE</w:t>
      </w:r>
    </w:p>
    <w:p>
      <w:pPr>
        <w:pStyle w:val="ListBullet"/>
      </w:pPr>
      <w:r>
        <w:t>Trial design: Open-label randomized Phase 3 comparing fixed-duration sonrotoclax+zanubrutinib vs venetoclax+acalabrutinib (14 cycles per AMPLIFY protocol) in treatment-naïve CLL adults</w:t>
      </w:r>
    </w:p>
    <w:p>
      <w:pPr>
        <w:pStyle w:val="ListBullet"/>
      </w:pPr>
      <w:r>
        <w:t>Mechanistic rationale: BTK inhibitors increase CLL cell BCL2 dependence; sonrotoclax demonstrates superior BCL2 binding affinity vs venetoclax in preclinical/early clinical studies</w:t>
      </w:r>
    </w:p>
    <w:p>
      <w:pPr>
        <w:pStyle w:val="ListBullet"/>
      </w:pPr>
      <w:r>
        <w:t>Phase 1/1b data (BGB-11417-101): Sonrotoclax+zanubrutinib achieved high complete remission rates and MRD negativity in treatment-naïve CLL</w:t>
      </w:r>
    </w:p>
    <w:p>
      <w:pPr>
        <w:pStyle w:val="ListBullet"/>
      </w:pPr>
      <w:r>
        <w:t>ASH 2025 presentations showed deep/durable responses for sonrotoclax monotherapy in R/R MCL and R/R CLL; CELESTIAL-RRCLL interim data positive</w:t>
      </w:r>
    </w:p>
    <w:p>
      <w:pPr>
        <w:pStyle w:val="ListBullet"/>
      </w:pPr>
      <w:r>
        <w:t>Comparator arm (venetoclax+acalabrutinib) FDA-approved Feb 19, 2026 based on AMPLIFY trial demonstrating durable responses with fixed-duration therapy</w:t>
      </w:r>
    </w:p>
    <w:p>
      <w:pPr>
        <w:pStyle w:val="Heading2"/>
      </w:pPr>
      <w:r>
        <w:t>OUTLOOK</w:t>
      </w:r>
    </w:p>
    <w:p>
      <w:pPr>
        <w:pStyle w:val="ListBullet"/>
      </w:pPr>
      <w:r>
        <w:t>Monitor April 2026 PDUFA decision for sonrotoclax in R/R MCL—approval validates drug credibility and accelerates CLL development momentum</w:t>
      </w:r>
    </w:p>
    <w:p>
      <w:pPr>
        <w:pStyle w:val="ListBullet"/>
      </w:pPr>
      <w:r>
        <w:t>Track CELESTIAL-TNCLL-2 interim analyses for early efficacy signals; statistically significant PFS improvement required to justify premium pricing vs established venetoclax combinations</w:t>
      </w:r>
    </w:p>
    <w:p>
      <w:pPr>
        <w:pStyle w:val="ListBullet"/>
      </w:pPr>
      <w:r>
        <w:t>Assess BeOne's commercial strategy post-MCL launch: pricing, market access, and KOL engagement will signal competitive intensity in CLL space</w:t>
      </w:r>
    </w:p>
    <w:p>
      <w:pPr>
        <w:pStyle w:val="ListBullet"/>
      </w:pPr>
      <w:r>
        <w:t>Watch for AbbVie's response: potential venetoclax lifecycle management initiatives, next-generation BCL2 inhibitor development, or aggressive pricing/contracting to defend market share</w:t>
      </w:r>
    </w:p>
    <w:p>
      <w:pPr>
        <w:pStyle w:val="ListBullet"/>
      </w:pPr>
      <w:r>
        <w:t>Evaluate zanubrutinib monotherapy uptake in low-risk patients—strong performance may fragment market and limit dual-inhibition combination adoption across all risk segments</w:t>
      </w:r>
    </w:p>
    <w:p>
      <w:pPr>
        <w:pStyle w:val="Heading2"/>
      </w:pPr>
      <w:r>
        <w:t>SOURCES</w:t>
      </w:r>
    </w:p>
    <w:p>
      <w:r>
        <w:t>1. https://clinicaltrials.gov/study/NCT07277231</w:t>
      </w:r>
    </w:p>
    <w:p>
      <w:r>
        <w:t>2. https://www.cancer.gov/research/participate/clinical-trials-search/v?id=NCI-2025-09408</w:t>
      </w:r>
    </w:p>
    <w:p>
      <w:r>
        <w:t>3. https://beonemedicines.com/clinical-trials/a-study-to-investigate-sonrotoclax-bgb-11417-plus-zanubrutinib-bgb-3111-compared-with-venetoclax-plus-acalabrutinib-in-adults-with-previously-untreated-chronic-lymphocytic-leukemia/</w:t>
      </w:r>
    </w:p>
    <w:p>
      <w:r>
        <w:t>4. https://cllsociety.org/2025/01/sonrotoclax-and-zanubrutinib-as-a-frontline-cll-treatment/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