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Milad Sohrabi</w:t>
      </w:r>
      <w:r>
        <w:t xml:space="preserve">a</w:t>
      </w:r>
      <w:r>
        <w:t xml:space="preserve">, Majid Ahmadian</w:t>
      </w:r>
      <w:r>
        <w:t xml:space="preserve">b</w:t>
      </w:r>
    </w:p>
    <w:p>
      <w:pPr>
        <w:pStyle w:val="BodyText"/>
      </w:pPr>
      <w:r>
        <w:t xml:space="preserve">a</w:t>
      </w:r>
      <w:r>
        <w:t xml:space="preserve">Student number : 402211297,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b</w:t>
      </w:r>
      <w:r>
        <w:t xml:space="preserve">Student number : 402200694, Msc. Process Design in Chemical</w:t>
      </w:r>
      <w:r>
        <w:t xml:space="preserve"> </w:t>
      </w:r>
      <w:r>
        <w:t xml:space="preserve">Engineering , Sharif university of Technology</w:t>
      </w:r>
    </w:p>
    <w:p>
      <w:pPr>
        <w:pStyle w:val="BodyText"/>
      </w:pPr>
      <w:r>
        <w:t xml:space="preserve">Abstract</w:t>
      </w:r>
    </w:p>
    <w:p>
      <w:pPr>
        <w:pStyle w:val="BodyText"/>
      </w:pPr>
      <w:r>
        <w:t xml:space="preserve">The Organic Rankine Cycle (ORC) offers a promising solution for</w:t>
      </w:r>
      <w:r>
        <w:t xml:space="preserve"> </w:t>
      </w:r>
      <w:r>
        <w:t xml:space="preserve">converting low-grade heat into electricity by utilizing organic fluids</w:t>
      </w:r>
      <w:r>
        <w:t xml:space="preserve"> </w:t>
      </w:r>
      <w:r>
        <w:t xml:space="preserve">with favorable thermodynamic properties. This study explores the impact</w:t>
      </w:r>
      <w:r>
        <w:t xml:space="preserve"> </w:t>
      </w:r>
      <w:r>
        <w:t xml:space="preserve">of different working fluids on ORC efficiency across various</w:t>
      </w:r>
      <w:r>
        <w:t xml:space="preserve"> </w:t>
      </w:r>
      <w:r>
        <w:t xml:space="preserve">configurations. Through experimental and simulation analyses, the study</w:t>
      </w:r>
      <w:r>
        <w:t xml:space="preserve"> </w:t>
      </w:r>
      <w:r>
        <w:t xml:space="preserve">identifies R142b, FC-72 and dichloromethane as top performers under</w:t>
      </w:r>
      <w:r>
        <w:t xml:space="preserve"> </w:t>
      </w:r>
      <w:r>
        <w:t xml:space="preserve">different conditions. Results demonstrate that fluid selection</w:t>
      </w:r>
      <w:r>
        <w:t xml:space="preserve"> </w:t>
      </w:r>
      <w:r>
        <w:t xml:space="preserve">critically influences ORC performance. This research underscores the</w:t>
      </w:r>
      <w:r>
        <w:t xml:space="preserve"> </w:t>
      </w:r>
      <w:r>
        <w:t xml:space="preserve">ORC’s versatility in enhancing energy efficiency and reducing waste</w:t>
      </w:r>
      <w:r>
        <w:t xml:space="preserve"> </w:t>
      </w:r>
      <w:r>
        <w:t xml:space="preserve">across industrial applications.</w:t>
      </w:r>
    </w:p>
    <w:p>
      <w:pPr>
        <w:pStyle w:val="BodyText"/>
      </w:pPr>
      <w:r>
        <w:rPr>
          <w:i/>
          <w:iCs/>
        </w:rPr>
        <w:t xml:space="preserve">Keywords:</w:t>
      </w:r>
      <w:r>
        <w:t xml:space="preserve"> </w:t>
      </w:r>
      <w:r>
        <w:t xml:space="preserve">Rankine Cycle, GAMS, Fluid selection;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The Organic Rankine Cycle (ORC) represents a significant advancement in</w:t>
      </w:r>
      <w:r>
        <w:t xml:space="preserve"> </w:t>
      </w:r>
      <w:r>
        <w:t xml:space="preserve">power generation technology, leveraging low-grade heat sources for the</w:t>
      </w:r>
      <w:r>
        <w:t xml:space="preserve"> </w:t>
      </w:r>
      <w:r>
        <w:t xml:space="preserve">production of electricity. Named after its working principle derived</w:t>
      </w:r>
      <w:r>
        <w:t xml:space="preserve"> </w:t>
      </w:r>
      <w:r>
        <w:t xml:space="preserve">from the conventional Rankine cycle, the ORC differentiates itself by</w:t>
      </w:r>
      <w:r>
        <w:t xml:space="preserve"> </w:t>
      </w:r>
      <w:r>
        <w:t xml:space="preserve">employing organic fluids with favorable thermodynamic properties instead</w:t>
      </w:r>
      <w:r>
        <w:t xml:space="preserve"> </w:t>
      </w:r>
      <w:r>
        <w:t xml:space="preserve">of water. This adaptation allows the ORC to efficiently exploit heat</w:t>
      </w:r>
      <w:r>
        <w:t xml:space="preserve"> </w:t>
      </w:r>
      <w:r>
        <w:t xml:space="preserve">from diverse and typically low-temperature sources, such as geothermal</w:t>
      </w:r>
      <w:r>
        <w:t xml:space="preserve"> </w:t>
      </w:r>
      <w:r>
        <w:t xml:space="preserve">reservoirs, solar thermal energy, industrial waste heat, and biomass</w:t>
      </w:r>
      <w:r>
        <w:t xml:space="preserve"> </w:t>
      </w:r>
      <w:r>
        <w:t xml:space="preserve">combustion.</w:t>
      </w:r>
    </w:p>
    <w:p>
      <w:pPr>
        <w:pStyle w:val="BodyText"/>
      </w:pPr>
      <w:r>
        <w:t xml:space="preserve">The selection of an appropriate working fluid is a critical aspect of</w:t>
      </w:r>
      <w:r>
        <w:t xml:space="preserve"> </w:t>
      </w:r>
      <w:r>
        <w:t xml:space="preserve">optimizing ORC performance. The ideal fluid must possess several key</w:t>
      </w:r>
      <w:r>
        <w:t xml:space="preserve"> </w:t>
      </w:r>
      <w:r>
        <w:t xml:space="preserve">characteristics to ensure efficiency and safety. These include</w:t>
      </w:r>
    </w:p>
    <w:p>
      <w:pPr>
        <w:pStyle w:val="BodyText"/>
      </w:pPr>
      <w:r>
        <w:t xml:space="preserve">suitable boiling and condensation points relative to the heat source and</w:t>
      </w:r>
      <w:r>
        <w:t xml:space="preserve"> </w:t>
      </w:r>
      <w:r>
        <w:t xml:space="preserve">sink, high thermal stability, low viscosity, and minimal environmental</w:t>
      </w:r>
      <w:r>
        <w:t xml:space="preserve"> </w:t>
      </w:r>
      <w:r>
        <w:t xml:space="preserve">impact. Additionally, the fluid should exhibit a high molecular weight</w:t>
      </w:r>
      <w:r>
        <w:t xml:space="preserve"> </w:t>
      </w:r>
      <w:r>
        <w:t xml:space="preserve">and density, which contribute to higher cycle efficiency and lower</w:t>
      </w:r>
      <w:r>
        <w:t xml:space="preserve"> </w:t>
      </w:r>
      <w:r>
        <w:t xml:space="preserve">volumetric flow rates.</w:t>
      </w:r>
    </w:p>
    <w:p>
      <w:pPr>
        <w:pStyle w:val="BodyText"/>
      </w:pPr>
      <w:r>
        <w:t xml:space="preserve">Evaluating potential working fluids involves a comprehensive analysis of</w:t>
      </w:r>
      <w:r>
        <w:t xml:space="preserve"> </w:t>
      </w:r>
      <w:r>
        <w:t xml:space="preserve">their thermophysical properties and compatibility with system</w:t>
      </w:r>
      <w:r>
        <w:t xml:space="preserve"> </w:t>
      </w:r>
      <w:r>
        <w:t xml:space="preserve">components. Fluids such as refrigerants, hydrocarbons, and siloxanes are</w:t>
      </w:r>
      <w:r>
        <w:t xml:space="preserve"> </w:t>
      </w:r>
      <w:r>
        <w:t xml:space="preserve">commonly considered due to their varied boiling points and thermal</w:t>
      </w:r>
      <w:r>
        <w:t xml:space="preserve"> </w:t>
      </w:r>
      <w:r>
        <w:t xml:space="preserve">properties. Moreover, the environmental and safety considerations, such</w:t>
      </w:r>
      <w:r>
        <w:t xml:space="preserve"> </w:t>
      </w:r>
      <w:r>
        <w:t xml:space="preserve">as global warming potential (GWP) and flammability, are integral to the</w:t>
      </w:r>
      <w:r>
        <w:t xml:space="preserve"> </w:t>
      </w:r>
      <w:r>
        <w:t xml:space="preserve">selection process.</w:t>
      </w:r>
    </w:p>
    <w:p>
      <w:pPr>
        <w:pStyle w:val="BodyText"/>
      </w:pPr>
      <w:r>
        <w:t xml:space="preserve">In summary, the ORC’s adaptability to low-temperature heat sources and</w:t>
      </w:r>
      <w:r>
        <w:t xml:space="preserve"> </w:t>
      </w:r>
      <w:r>
        <w:t xml:space="preserve">the judicious choice of working fluid renders it a versatile and</w:t>
      </w:r>
      <w:r>
        <w:t xml:space="preserve"> </w:t>
      </w:r>
      <w:r>
        <w:t xml:space="preserve">sustainable option for enhancing energy efficiency and mitigating waste.</w:t>
      </w:r>
      <w:r>
        <w:t xml:space="preserve"> </w:t>
      </w:r>
      <w:r>
        <w:t xml:space="preserve">Continued research and development in this field aim to refine fluid</w:t>
      </w:r>
      <w:r>
        <w:t xml:space="preserve"> </w:t>
      </w:r>
      <w:r>
        <w:t xml:space="preserve">selection criteria and expand the applicability of ORC technology across</w:t>
      </w:r>
      <w:r>
        <w:t xml:space="preserve"> </w:t>
      </w:r>
      <w:r>
        <w:t xml:space="preserve">various industrial sectors.</w:t>
      </w:r>
    </w:p>
    <w:p>
      <w:pPr>
        <w:pStyle w:val="BodyText"/>
      </w:pPr>
      <w:r>
        <w:t xml:space="preserve">Abbas et al. [1] experimentally examined a cascaded two-Organic</w:t>
      </w:r>
      <w:r>
        <w:t xml:space="preserve"> </w:t>
      </w:r>
      <w:r>
        <w:t xml:space="preserve">Rankine Cycle (ORC) system across various temperatures and pressures to</w:t>
      </w:r>
      <w:r>
        <w:t xml:space="preserve"> </w:t>
      </w:r>
      <w:r>
        <w:t xml:space="preserve">optimize performance. Cyclopentane was used in the high-temperature (HT)</w:t>
      </w:r>
      <w:r>
        <w:t xml:space="preserve"> </w:t>
      </w:r>
      <w:r>
        <w:t xml:space="preserve">cycle, while pentane, butane, and propane were tested in the</w:t>
      </w:r>
      <w:r>
        <w:t xml:space="preserve"> </w:t>
      </w:r>
      <w:r>
        <w:t xml:space="preserve">low-temperature (LT) cycle. Results highlighted that pentane maximized</w:t>
      </w:r>
      <w:r>
        <w:t xml:space="preserve"> </w:t>
      </w:r>
      <w:r>
        <w:t xml:space="preserve">heat transfer, absorbing 23 kW, but most heat from the HT cycle was not</w:t>
      </w:r>
      <w:r>
        <w:t xml:space="preserve"> </w:t>
      </w:r>
      <w:r>
        <w:t xml:space="preserve">transferred to the LT cycle.</w:t>
      </w:r>
    </w:p>
    <w:p>
      <w:pPr>
        <w:pStyle w:val="BodyText"/>
      </w:pPr>
      <w:r>
        <w:t xml:space="preserve">Yu et al. [2] focuses on optimizing the design and operation of a</w:t>
      </w:r>
      <w:r>
        <w:t xml:space="preserve"> </w:t>
      </w:r>
      <w:r>
        <w:t xml:space="preserve">solar energy-driven ORC system utilizing a parabolic trough collector</w:t>
      </w:r>
      <w:r>
        <w:t xml:space="preserve"> </w:t>
      </w:r>
      <w:r>
        <w:t xml:space="preserve">and a two-tank sensible thermal energy storage system. Results showed</w:t>
      </w:r>
      <w:r>
        <w:t xml:space="preserve"> </w:t>
      </w:r>
      <w:r>
        <w:t xml:space="preserve">that a recuperative ORC significantly outperforms a basic ORC, with</w:t>
      </w:r>
      <w:r>
        <w:t xml:space="preserve"> </w:t>
      </w:r>
      <w:r>
        <w:t xml:space="preserve">toluene emerging as the best working fluid despite vacuum condensation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Abbas et al. [3] explored the thermal efficiency of a Cascaded</w:t>
      </w:r>
      <w:r>
        <w:t xml:space="preserve"> </w:t>
      </w:r>
      <w:r>
        <w:t xml:space="preserve">Dual-Organic Rankine Cycle (CD-ORC) system using alkanes and low-GWP</w:t>
      </w:r>
      <w:r>
        <w:t xml:space="preserve"> </w:t>
      </w:r>
      <w:r>
        <w:t xml:space="preserve">refrigerants through simulations with EBSILON@Professional. The analysis</w:t>
      </w:r>
      <w:r>
        <w:t xml:space="preserve"> </w:t>
      </w:r>
      <w:r>
        <w:t xml:space="preserve">revealed that thermal efficiency in the HT-ORC is influenced by the</w:t>
      </w:r>
      <w:r>
        <w:t xml:space="preserve"> </w:t>
      </w:r>
      <w:r>
        <w:t xml:space="preserve">critical temperature, molecular mass, and critical pressure of the</w:t>
      </w:r>
      <w:r>
        <w:t xml:space="preserve"> </w:t>
      </w:r>
      <w:r>
        <w:t xml:space="preserve">working fluids, with cyclic alkanes like cyclohexane showing superior</w:t>
      </w:r>
      <w:r>
        <w:t xml:space="preserve"> </w:t>
      </w:r>
      <w:r>
        <w:t xml:space="preserve">performance. In the LT-ORC, refrigerants with high critical</w:t>
      </w:r>
      <w:r>
        <w:t xml:space="preserve"> </w:t>
      </w:r>
      <w:r>
        <w:t xml:space="preserve">temperatures, such as R1366mzz(Z) and R1233zd(E), achieved the highest</w:t>
      </w:r>
      <w:r>
        <w:t xml:space="preserve"> </w:t>
      </w:r>
      <w:r>
        <w:t xml:space="preserve">efficiency. The CD-ORC system demonstrated a potential 25% efficiency</w:t>
      </w:r>
      <w:r>
        <w:t xml:space="preserve"> </w:t>
      </w:r>
      <w:r>
        <w:t xml:space="preserve">improvement over regular ORC systems.</w:t>
      </w:r>
    </w:p>
    <w:p>
      <w:pPr>
        <w:pStyle w:val="BodyText"/>
      </w:pPr>
    </w:p>
    <w:p>
      <w:pPr>
        <w:pStyle w:val="BodyText"/>
      </w:pPr>
      <w:r>
        <w:t xml:space="preserve">Figure 1. Rankine cycle for Config. A [4]</w:t>
      </w:r>
    </w:p>
    <w:p>
      <w:pPr>
        <w:pStyle w:val="BodyText"/>
      </w:pPr>
      <w:r>
        <w:t xml:space="preserve">In the following, the thermodynamic modeling of the ORC (Organic Rankine</w:t>
      </w:r>
      <w:r>
        <w:t xml:space="preserve"> </w:t>
      </w:r>
      <w:r>
        <w:t xml:space="preserve">Cycle) is examined. To model this cycle using various assumptions, three</w:t>
      </w:r>
      <w:r>
        <w:t xml:space="preserve"> </w:t>
      </w:r>
      <w:r>
        <w:t xml:space="preserve">different approaches for the thermodynamic simulation of the cycle</w:t>
      </w:r>
      <w:r>
        <w:t xml:space="preserve"> </w:t>
      </w:r>
      <w:r>
        <w:t xml:space="preserve">showen in Figure 1.</w:t>
      </w:r>
    </w:p>
    <w:bookmarkEnd w:id="20"/>
    <w:bookmarkStart w:id="23" w:name="configuration-a-approach-1"/>
    <w:p>
      <w:pPr>
        <w:pStyle w:val="Heading1"/>
      </w:pPr>
      <w:r>
        <w:t xml:space="preserve">Configuration A – Approach 1</w:t>
      </w:r>
    </w:p>
    <w:p>
      <w:pPr>
        <w:pStyle w:val="FirstParagraph"/>
      </w:pPr>
      <w:r>
        <w:t xml:space="preserve">To model the thermodynamics of Figure 1 using Approach 1, which is based</w:t>
      </w:r>
      <w:r>
        <w:t xml:space="preserve"> </w:t>
      </w:r>
      <w:r>
        <w:t xml:space="preserve">on obtaining the enthalpy of different streams, assumptions include: the</w:t>
      </w:r>
      <w:r>
        <w:t xml:space="preserve"> </w:t>
      </w:r>
      <w:r>
        <w:t xml:space="preserve">turbine outlet pressure is 1 bar, zero pressure drop for equipment, a</w:t>
      </w:r>
      <w:r>
        <w:t xml:space="preserve"> </w:t>
      </w:r>
      <w:r>
        <w:t xml:space="preserve">minimum temperature approach of 5°C for cycle heat exchangers, an</w:t>
      </w:r>
      <w:r>
        <w:t xml:space="preserve"> </w:t>
      </w:r>
      <w:r>
        <w:t xml:space="preserve">evaporator outlet temperature of 165°C, purity of each stream, condenser</w:t>
      </w:r>
      <w:r>
        <w:t xml:space="preserve"> </w:t>
      </w:r>
      <w:r>
        <w:t xml:space="preserve">outlet temperature slightly less than the boiling point of the</w:t>
      </w:r>
      <w:r>
        <w:t xml:space="preserve"> </w:t>
      </w:r>
      <w:r>
        <w:t xml:space="preserve">substance, a 1°C temperature increase across the pump, 75% pump</w:t>
      </w:r>
      <w:r>
        <w:t xml:space="preserve"> </w:t>
      </w:r>
      <w:r>
        <w:t xml:space="preserve">efficiency, 80% turbine isentropic efficiency, 95% electric motor</w:t>
      </w:r>
      <w:r>
        <w:t xml:space="preserve"> </w:t>
      </w:r>
      <w:r>
        <w:t xml:space="preserve">efficiency, and operational constraints such as the turbine inlet being</w:t>
      </w:r>
      <w:r>
        <w:t xml:space="preserve"> </w:t>
      </w:r>
      <w:r>
        <w:t xml:space="preserve">fully vapor and the turbine outlet having a steam quality that can</w:t>
      </w:r>
      <w:r>
        <w:t xml:space="preserve"> </w:t>
      </w:r>
      <w:r>
        <w:t xml:space="preserve">decrease to 90% as mentioned in [2]. The specifications of the hot</w:t>
      </w:r>
      <w:r>
        <w:t xml:space="preserve"> </w:t>
      </w:r>
      <w:r>
        <w:t xml:space="preserve">water flow rate are given in Table 1.</w:t>
      </w:r>
    </w:p>
    <w:p>
      <w:pPr>
        <w:pStyle w:val="BodyText"/>
      </w:pPr>
      <w:r>
        <w:t xml:space="preserve">Table 1. Waste Water property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170 °C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Flowrate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kg/s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Water</w:t>
            </w:r>
          </w:p>
        </w:tc>
      </w:tr>
    </w:tbl>
    <w:p>
      <w:pPr>
        <w:pStyle w:val="BodyText"/>
      </w:pPr>
      <w:r>
        <w:t xml:space="preserve">To determine the enthalpy of each stream, Equation 1 is used. The actual</w:t>
      </w:r>
      <w:r>
        <w:t xml:space="preserve"> </w:t>
      </w:r>
      <w:r>
        <w:t xml:space="preserve">enthalpy of each stream includes three to four parameters: the ideal gas</w:t>
      </w:r>
      <w:r>
        <w:t xml:space="preserve"> </w:t>
      </w:r>
      <w:r>
        <w:t xml:space="preserve">enthalpy, the residual enthalpy indicating the deviation from the ideal</w:t>
      </w:r>
      <w:r>
        <w:t xml:space="preserve"> </w:t>
      </w:r>
      <w:r>
        <w:t xml:space="preserve">state, the formation enthalpy which is a constant value for the</w:t>
      </w:r>
      <w:r>
        <w:t xml:space="preserve"> </w:t>
      </w:r>
      <w:r>
        <w:t xml:space="preserve">substance, and if the substance is in the liquid phase, the enthalpy of</w:t>
      </w:r>
      <w:r>
        <w:t xml:space="preserve"> </w:t>
      </w:r>
      <w:r>
        <w:t xml:space="preserve">vaporization should be added to the actual enthalpy.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r</m:t>
              </m:r>
              <m:r>
                <m:t>e</m:t>
              </m:r>
              <m:r>
                <m:t>a</m:t>
              </m:r>
              <m:r>
                <m:t>l</m:t>
              </m:r>
            </m:sup>
          </m:sSup>
          <m:r>
            <m:rPr>
              <m:sty m:val="p"/>
            </m:rPr>
            <m:t>=</m:t>
          </m:r>
          <m:sSup>
            <m:e>
              <m:r>
                <m:t>H</m:t>
              </m:r>
            </m:e>
            <m:sup>
              <m:r>
                <m:t>i</m:t>
              </m:r>
              <m:r>
                <m:t>g</m:t>
              </m:r>
            </m:sup>
          </m:sSup>
          <m:r>
            <m:rPr>
              <m:sty m:val="p"/>
            </m:rPr>
            <m:t>+</m:t>
          </m:r>
          <m:sSup>
            <m:e>
              <m:r>
                <m:t>H</m:t>
              </m:r>
            </m:e>
            <m:sup>
              <m:r>
                <m:t>r</m:t>
              </m:r>
              <m:r>
                <m:t>e</m:t>
              </m:r>
              <m:r>
                <m:t>s</m:t>
              </m:r>
            </m:sup>
          </m:sSup>
          <m:r>
            <m:rPr>
              <m:sty m:val="p"/>
            </m:rPr>
            <m:t>+</m:t>
          </m:r>
          <m:sSup>
            <m:e>
              <m:r>
                <m:t>H</m:t>
              </m:r>
            </m:e>
            <m:sup>
              <m:r>
                <m:t>f</m:t>
              </m:r>
              <m:r>
                <m:t>o</m:t>
              </m:r>
              <m:r>
                <m:t>r</m:t>
              </m:r>
              <m:r>
                <m:t>m</m:t>
              </m:r>
            </m:sup>
          </m:sSup>
          <m:r>
            <m:rPr>
              <m:sty m:val="p"/>
            </m:rPr>
            <m:t>+</m:t>
          </m:r>
          <m:sSup>
            <m:e>
              <m:r>
                <m:t>H</m:t>
              </m:r>
            </m:e>
            <m:sup>
              <m:r>
                <m:t>v</m:t>
              </m:r>
              <m:r>
                <m:t>a</m:t>
              </m:r>
              <m:r>
                <m:t>p</m:t>
              </m:r>
            </m:sup>
          </m:sSup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</m:t>
          </m:r>
        </m:oMath>
      </m:oMathPara>
    </w:p>
    <w:p>
      <w:pPr>
        <w:pStyle w:val="FirstParagraph"/>
      </w:pPr>
      <w:r>
        <w:t xml:space="preserve">If the stream is two-phase, Equation 2 must be used, which calculates</w:t>
      </w:r>
      <w:r>
        <w:t xml:space="preserve"> </w:t>
      </w:r>
      <w:r>
        <w:t xml:space="preserve">the enthalpy for saturated vapor and liquid, and then the vapor fraction</w:t>
      </w:r>
      <w:r>
        <w:t xml:space="preserve"> </w:t>
      </w:r>
      <w:r>
        <w:t xml:space="preserve">of the stream is inserted into the equation to obtain the actual</w:t>
      </w:r>
      <w:r>
        <w:t xml:space="preserve"> </w:t>
      </w:r>
      <w:r>
        <w:t xml:space="preserve">enthalpy.</w:t>
      </w:r>
    </w:p>
    <w:p>
      <w:pPr>
        <w:pStyle w:val="BodyText"/>
      </w:pPr>
      <m:oMath>
        <m:r>
          <m:t>H</m:t>
        </m:r>
        <m:r>
          <m:rPr>
            <m:sty m:val="p"/>
          </m:rPr>
          <m:t>=</m:t>
        </m:r>
        <m:r>
          <m:t>v</m:t>
        </m:r>
        <m:r>
          <m:t>a</m:t>
        </m:r>
        <m:r>
          <m:t>p</m:t>
        </m:r>
        <m:r>
          <m:rPr>
            <m:sty m:val="p"/>
          </m:rPr>
          <m:t>.</m:t>
        </m:r>
        <m:r>
          <m:t> </m:t>
        </m:r>
        <m:r>
          <m:t>f</m:t>
        </m:r>
        <m:r>
          <m:t>r</m:t>
        </m:r>
        <m:r>
          <m:t>a</m:t>
        </m:r>
        <m:r>
          <m:t>c</m:t>
        </m:r>
        <m:r>
          <m:rPr>
            <m:sty m:val="p"/>
          </m:rPr>
          <m:t>*</m:t>
        </m:r>
        <m:sSup>
          <m:e>
            <m:r>
              <m:t>H</m:t>
            </m:r>
          </m:e>
          <m:sup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.</m:t>
            </m:r>
            <m:r>
              <m:t>v</m:t>
            </m:r>
            <m:r>
              <m:t>a</m:t>
            </m:r>
            <m:r>
              <m:t>p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v</m:t>
            </m:r>
            <m:r>
              <m:t>a</m:t>
            </m:r>
            <m:r>
              <m:t>p</m:t>
            </m:r>
            <m:r>
              <m:rPr>
                <m:sty m:val="p"/>
              </m:rPr>
              <m:t>.</m:t>
            </m:r>
            <m:r>
              <m:t> </m:t>
            </m:r>
            <m:r>
              <m:t>f</m:t>
            </m:r>
            <m:r>
              <m:t>r</m:t>
            </m:r>
            <m:r>
              <m:t>a</m:t>
            </m:r>
            <m:r>
              <m:t>c</m:t>
            </m:r>
          </m:e>
        </m:d>
        <m:r>
          <m:rPr>
            <m:sty m:val="p"/>
          </m:rPr>
          <m:t>*</m:t>
        </m:r>
        <m:sSup>
          <m:e>
            <m:r>
              <m:t>H</m:t>
            </m:r>
          </m:e>
          <m:sup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.</m:t>
            </m:r>
            <m:r>
              <m:t>l</m:t>
            </m:r>
            <m:r>
              <m:t>i</m:t>
            </m:r>
            <m:r>
              <m:t>q</m:t>
            </m:r>
          </m:sup>
        </m:sSup>
        <m:r>
          <m:t> </m:t>
        </m:r>
        <m:r>
          <m:t> </m:t>
        </m:r>
        <m:r>
          <m:t>e</m:t>
        </m:r>
        <m:r>
          <m:t>q</m:t>
        </m:r>
        <m:r>
          <m:t>.2</m:t>
        </m:r>
      </m:oMath>
    </w:p>
    <w:p>
      <w:pPr>
        <w:pStyle w:val="BodyText"/>
      </w:pPr>
      <w:r>
        <w:t xml:space="preserve">To calculate the ideal gas enthalpy of a stream, Equation 3 is used.</w:t>
      </w:r>
      <w:r>
        <w:t xml:space="preserve"> </w:t>
      </w:r>
      <w:r>
        <w:t xml:space="preserve">Coefficients a to f are read from the Aspen HYSYS software, and by</w:t>
      </w:r>
      <w:r>
        <w:t xml:space="preserve"> </w:t>
      </w:r>
      <w:r>
        <w:t xml:space="preserve">inputting the temperature in Kelvin into Equation 3, the ideal gas</w:t>
      </w:r>
      <w:r>
        <w:t xml:space="preserve"> </w:t>
      </w:r>
      <w:r>
        <w:t xml:space="preserve">enthalpy (Kj / Kg) is obtained.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i</m:t>
              </m:r>
              <m:r>
                <m:t>g</m:t>
              </m:r>
            </m:sup>
          </m:sSup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T</m:t>
          </m:r>
          <m:r>
            <m:rPr>
              <m:sty m:val="p"/>
            </m:rPr>
            <m:t>+</m:t>
          </m:r>
          <m:r>
            <m:t>c</m:t>
          </m:r>
          <m:sSup>
            <m:e>
              <m:r>
                <m:t>T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d</m:t>
              </m:r>
              <m:r>
                <m:t>T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p>
            <m:e>
              <m:r>
                <m:t>e</m:t>
              </m:r>
              <m:r>
                <m:t>T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sSup>
            <m:e>
              <m:r>
                <m:t>f</m:t>
              </m:r>
              <m:r>
                <m:t>T</m:t>
              </m:r>
            </m:e>
            <m:sup>
              <m:r>
                <m:t>5</m:t>
              </m:r>
            </m:sup>
          </m:sSup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.3</m:t>
          </m:r>
        </m:oMath>
      </m:oMathPara>
    </w:p>
    <w:p>
      <w:pPr>
        <w:pStyle w:val="FirstParagraph"/>
      </w:pPr>
      <w:r>
        <w:t xml:space="preserve">To calculate the second parameter in Equation 1, the residual enthalpy,</w:t>
      </w:r>
      <w:r>
        <w:t xml:space="preserve"> </w:t>
      </w:r>
      <w:r>
        <w:t xml:space="preserve">existing EOS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are used. Considering the problem’s requirements, the</w:t>
      </w:r>
      <w:r>
        <w:t xml:space="preserve"> </w:t>
      </w:r>
      <w:r>
        <w:t xml:space="preserve">PR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equation of state is chosen. Using the relations provided in</w:t>
      </w:r>
      <w:r>
        <w:t xml:space="preserve"> </w:t>
      </w:r>
      <w:r>
        <w:t xml:space="preserve">[5], presented as Equations 4 to 12, the desired parameter is</w:t>
      </w:r>
      <w:r>
        <w:t xml:space="preserve"> </w:t>
      </w:r>
      <w:r>
        <w:t xml:space="preserve">calculated. To solve the cubic equation in Equation 5, the Kamath method</w:t>
      </w:r>
      <w:r>
        <w:t xml:space="preserve"> </w:t>
      </w:r>
      <w:r>
        <w:t xml:space="preserve">is used.</w:t>
      </w:r>
    </w:p>
    <w:p>
      <w:pPr>
        <w:pStyle w:val="BodyText"/>
      </w:pPr>
      <m:oMath>
        <m:sSup>
          <m:e>
            <m:r>
              <m:t>H</m:t>
            </m:r>
          </m:e>
          <m:sup>
            <m:r>
              <m:t>R</m:t>
            </m:r>
            <m:r>
              <m:t>e</m:t>
            </m:r>
            <m:r>
              <m:t>s</m:t>
            </m:r>
          </m:sup>
        </m:sSup>
        <m:r>
          <m:rPr>
            <m:sty m:val="p"/>
          </m:rPr>
          <m:t>=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</m:den>
            </m:f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m</m:t>
                    </m:r>
                    <m:rad>
                      <m:radPr>
                        <m:degHide m:val="on"/>
                      </m:radPr>
                      <m:deg/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</m:e>
                    </m:rad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α</m:t>
                        </m:r>
                      </m:e>
                    </m:rad>
                  </m:den>
                </m:f>
              </m:e>
            </m:d>
            <m:r>
              <m:rPr>
                <m:sty m:val="p"/>
              </m:rPr>
              <m:t>ln</m:t>
            </m:r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>
                      <m:t>B</m:t>
                    </m:r>
                  </m:num>
                  <m:den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2</m:t>
                            </m:r>
                          </m:e>
                        </m:rad>
                      </m:e>
                    </m:d>
                    <m:r>
                      <m:t>B</m:t>
                    </m:r>
                  </m:den>
                </m:f>
              </m:e>
            </m:d>
          </m:e>
        </m:d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eq.4</w:t>
      </w:r>
    </w:p>
    <w:p>
      <w:pPr>
        <w:pStyle w:val="BodyText"/>
      </w:pPr>
      <m:oMath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B</m:t>
            </m:r>
          </m:e>
        </m:d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</m:e>
        </m:d>
        <m:r>
          <m:t>Z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−</m:t>
            </m:r>
            <m:sSup>
              <m:e>
                <m:r>
                  <m:t>B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B</m:t>
                </m:r>
              </m:e>
              <m:sup>
                <m:r>
                  <m:t>3</m:t>
                </m:r>
              </m:sup>
            </m:sSup>
          </m:e>
        </m:d>
      </m:oMath>
      <w:r>
        <w:t xml:space="preserve"> </w:t>
      </w:r>
      <w:r>
        <w:t xml:space="preserve">eq.5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T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 </w:t>
      </w:r>
      <w:r>
        <w:t xml:space="preserve">eq.6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 </m:t>
        </m:r>
        <m:s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r</m:t>
                            </m:r>
                          </m:sub>
                        </m:sSub>
                      </m:e>
                      <m:sup>
                        <m:r>
                          <m:t>0.5</m:t>
                        </m:r>
                      </m:sup>
                    </m:sSup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eq.7</w:t>
      </w:r>
    </w:p>
    <w:p>
      <w:pPr>
        <w:pStyle w:val="BodyText"/>
      </w:pPr>
      <m:oMath>
        <m:r>
          <m:t>m</m:t>
        </m:r>
        <m:r>
          <m:rPr>
            <m:sty m:val="p"/>
          </m:rPr>
          <m:t>=</m:t>
        </m:r>
        <m:r>
          <m:t>0.375</m:t>
        </m:r>
        <m:r>
          <m:rPr>
            <m:sty m:val="p"/>
          </m:rPr>
          <m:t>+</m:t>
        </m:r>
        <m:r>
          <m:t>1.54</m:t>
        </m:r>
        <m:r>
          <m:t>ω</m:t>
        </m:r>
        <m:r>
          <m:rPr>
            <m:sty m:val="p"/>
          </m:rPr>
          <m:t>−</m:t>
        </m:r>
        <m:r>
          <m:t>0.27</m:t>
        </m:r>
        <m:sSup>
          <m:e>
            <m:r>
              <m:t>ω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eq.8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0.457235</m:t>
        </m:r>
        <m:r>
          <m:t> 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T</m:t>
                </m:r>
              </m:e>
              <m:sub>
                <m:r>
                  <m:t>C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</m:den>
        </m:f>
        <m:r>
          <m:rPr>
            <m:sty m:val="p"/>
          </m:rPr>
          <m:t>*</m:t>
        </m:r>
        <m:r>
          <m:t> </m:t>
        </m:r>
        <m:r>
          <m:t>α</m:t>
        </m:r>
      </m:oMath>
      <w:r>
        <w:t xml:space="preserve"> </w:t>
      </w:r>
      <w:r>
        <w:t xml:space="preserve">eq.9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r>
          <m:t>0.077796</m:t>
        </m:r>
        <m:r>
          <m:t> </m:t>
        </m:r>
        <m:f>
          <m:fPr>
            <m:type m:val="bar"/>
          </m:fPr>
          <m:num>
            <m:r>
              <m:t>R</m:t>
            </m:r>
            <m:sSub>
              <m:e>
                <m:r>
                  <m:t>T</m:t>
                </m:r>
              </m:e>
              <m:sub>
                <m:r>
                  <m:t>c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C</m:t>
                </m:r>
              </m:sub>
            </m:sSub>
          </m:den>
        </m:f>
      </m:oMath>
      <w:r>
        <w:t xml:space="preserve"> </w:t>
      </w:r>
      <w:r>
        <w:t xml:space="preserve">eq.10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P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R</m:t>
                    </m:r>
                    <m:r>
                      <m:t>T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eq.11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P</m:t>
            </m:r>
          </m:num>
          <m:den>
            <m:r>
              <m:t>R</m:t>
            </m:r>
            <m:r>
              <m:t>T</m:t>
            </m:r>
          </m:den>
        </m:f>
      </m:oMath>
      <w:r>
        <w:t xml:space="preserve"> </w:t>
      </w:r>
      <w:r>
        <w:t xml:space="preserve">eq.12</w:t>
      </w:r>
    </w:p>
    <w:p>
      <w:pPr>
        <w:pStyle w:val="BodyText"/>
      </w:pPr>
      <w:r>
        <w:t xml:space="preserve">Assuming the purity of each stream, by substituting either the</w:t>
      </w:r>
      <w:r>
        <w:t xml:space="preserve"> </w:t>
      </w:r>
      <w:r>
        <w:t xml:space="preserve">temperature or pressure of a stream, other parameters of that stream,</w:t>
      </w:r>
      <w:r>
        <w:t xml:space="preserve"> </w:t>
      </w:r>
      <w:r>
        <w:t xml:space="preserve">such as the fugacity coefficient (Equations 13 &amp; 14) or the</w:t>
      </w:r>
      <w:r>
        <w:t xml:space="preserve"> </w:t>
      </w:r>
      <w:r>
        <w:t xml:space="preserve">compressibility factor, can be calculated.</w:t>
      </w:r>
    </w:p>
    <w:p>
      <w:pPr>
        <w:pStyle w:val="BodyText"/>
      </w:pPr>
      <m:oMath>
        <m:r>
          <m:t>f</m:t>
        </m:r>
        <m:r>
          <m:t>o</m:t>
        </m:r>
        <m:r>
          <m:t>r</m:t>
        </m:r>
        <m:r>
          <m:t> </m:t>
        </m:r>
        <m:r>
          <m:t>p</m:t>
        </m:r>
        <m:r>
          <m:t>u</m:t>
        </m:r>
        <m:r>
          <m:t>r</m:t>
        </m:r>
        <m:r>
          <m:t>e</m:t>
        </m:r>
        <m:r>
          <m:t> </m:t>
        </m:r>
        <m:r>
          <m:t>s</m:t>
        </m:r>
        <m:r>
          <m:t>y</m:t>
        </m:r>
        <m:r>
          <m:t>s</m:t>
        </m:r>
        <m:r>
          <m:t>t</m:t>
        </m:r>
        <m:r>
          <m:t>e</m:t>
        </m:r>
        <m:r>
          <m:t>m</m:t>
        </m:r>
        <m:r>
          <m:rPr>
            <m:sty m:val="p"/>
          </m:rPr>
          <m:t>→</m:t>
        </m:r>
        <m:r>
          <m:t> </m:t>
        </m:r>
        <m:sSup>
          <m:e>
            <m:r>
              <m:t>φ</m:t>
            </m:r>
          </m:e>
          <m:sup>
            <m:r>
              <m:t>v</m:t>
            </m:r>
          </m:sup>
        </m:sSup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t>l</m:t>
            </m:r>
          </m:sup>
        </m:sSup>
      </m:oMath>
      <w:r>
        <w:t xml:space="preserve"> </w:t>
      </w:r>
      <w:r>
        <w:t xml:space="preserve">eq.13</w:t>
      </w:r>
    </w:p>
    <w:p>
      <w:pPr>
        <w:pStyle w:val="BodyText"/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φ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  <m:r>
              <m:t>B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num>
              <m:den>
                <m:r>
                  <m:t>z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B</m:t>
                </m:r>
              </m:den>
            </m:f>
          </m:e>
        </m:d>
      </m:oMath>
      <w:r>
        <w:t xml:space="preserve"> </w:t>
      </w:r>
      <w:r>
        <w:t xml:space="preserve">eq.14</w:t>
      </w:r>
    </w:p>
    <w:p>
      <w:pPr>
        <w:pStyle w:val="BodyText"/>
      </w:pPr>
      <w:r>
        <w:t xml:space="preserve">To find the molar flow rate of the pure component in the cycle, Equation</w:t>
      </w:r>
      <w:r>
        <w:t xml:space="preserve"> </w:t>
      </w:r>
      <w:r>
        <w:t xml:space="preserve">15 is used, which determines the molar flow rate of the component by</w:t>
      </w:r>
      <w:r>
        <w:t xml:space="preserve"> </w:t>
      </w:r>
      <w:r>
        <w:t xml:space="preserve">balancing the energy in the cycle’s evaporator.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n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 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</m:sub>
          </m:sSub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w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Δ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5</m:t>
              </m:r>
            </m:e>
          </m:d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.15</m:t>
          </m:r>
        </m:oMath>
      </m:oMathPara>
    </w:p>
    <w:p>
      <w:pPr>
        <w:pStyle w:val="FirstParagraph"/>
      </w:pPr>
      <w:r>
        <w:t xml:space="preserve">Subsequently, the thermodynamic parameters of the mentioned cycle are</w:t>
      </w:r>
      <w:r>
        <w:t xml:space="preserve"> </w:t>
      </w:r>
      <w:r>
        <w:t xml:space="preserve">calculated, and the pump’s required work is determined using Equation 16</w:t>
      </w:r>
      <w:r>
        <w:t xml:space="preserve"> </w:t>
      </w:r>
      <w:r>
        <w:t xml:space="preserve">&amp; 17. Finally, the turbine’s generated work is calculated using Equation</w:t>
      </w:r>
      <w:r>
        <w:t xml:space="preserve"> </w:t>
      </w:r>
      <w:r>
        <w:t xml:space="preserve">18.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sSub>
            <m:e>
              <m:r>
                <m:t>H</m:t>
              </m:r>
            </m:e>
            <m:sub>
              <m:r>
                <m:t>p</m:t>
              </m:r>
              <m:r>
                <m:t>u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r>
            <m:t> 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*</m:t>
              </m:r>
              <m:acc>
                <m:accPr>
                  <m:chr m:val="̇"/>
                </m:accPr>
                <m:e>
                  <m:r>
                    <m:t>n</m:t>
                  </m:r>
                </m:e>
              </m:acc>
              <m:r>
                <m:rPr>
                  <m:sty m:val="p"/>
                </m:rPr>
                <m:t>*</m:t>
              </m:r>
              <m:r>
                <m:t>M</m:t>
              </m:r>
              <m:r>
                <m:t>W</m:t>
              </m:r>
            </m:num>
            <m:den>
              <m:r>
                <m:t>d</m:t>
              </m:r>
              <m:r>
                <m:t>e</m:t>
              </m:r>
              <m:r>
                <m:t>n</m:t>
              </m:r>
              <m:r>
                <m:t>s</m:t>
              </m:r>
              <m:r>
                <m:t>i</m:t>
              </m:r>
              <m:r>
                <m:t>t</m:t>
              </m:r>
              <m:r>
                <m:t>y</m:t>
              </m:r>
            </m:den>
          </m:f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p</m:t>
              </m:r>
              <m:r>
                <m:t>u</m:t>
              </m:r>
              <m:r>
                <m:t>m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Δ</m:t>
              </m:r>
              <m:sSub>
                <m:e>
                  <m:r>
                    <m:t>H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num>
            <m:den>
              <m:sSub>
                <m:e>
                  <m:r>
                    <m:t>η</m:t>
                  </m:r>
                </m:e>
                <m:sub>
                  <m:r>
                    <m:t>p</m:t>
                  </m:r>
                  <m:r>
                    <m:t>u</m:t>
                  </m:r>
                  <m:r>
                    <m:t>m</m:t>
                  </m:r>
                  <m:r>
                    <m:t>p</m:t>
                  </m:r>
                </m:sub>
              </m:sSub>
            </m:den>
          </m:f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  <m:r>
                <m:t>i</m:t>
              </m:r>
              <m:r>
                <m:t>n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 </m:t>
          </m:r>
          <m:acc>
            <m:accPr>
              <m:chr m:val="̇"/>
            </m:accPr>
            <m:e>
              <m:r>
                <m:t>n</m:t>
              </m:r>
            </m:e>
          </m:acc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H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.18</m:t>
          </m:r>
        </m:oMath>
      </m:oMathPara>
    </w:p>
    <w:p>
      <w:pPr>
        <w:pStyle w:val="FirstParagraph"/>
      </w:pPr>
      <w:r>
        <w:t xml:space="preserve">To select among the 74 components listed in the provided Excel file, two</w:t>
      </w:r>
      <w:r>
        <w:t xml:space="preserve"> </w:t>
      </w:r>
      <w:r>
        <w:t xml:space="preserve">constraints are applied: the condenser outlet temperature must be at</w:t>
      </w:r>
      <w:r>
        <w:t xml:space="preserve"> </w:t>
      </w:r>
      <w:r>
        <w:t xml:space="preserve">least 30°C, and the selected component must have a boiling point lower</w:t>
      </w:r>
      <w:r>
        <w:t xml:space="preserve"> </w:t>
      </w:r>
      <w:r>
        <w:t xml:space="preserve">than water. By applying these constraints, 15 components listed in Table</w:t>
      </w:r>
      <w:r>
        <w:t xml:space="preserve"> </w:t>
      </w:r>
      <w:r>
        <w:t xml:space="preserve">2 are identified as candidates for the best substance for this cycle.</w:t>
      </w:r>
    </w:p>
    <w:p>
      <w:pPr>
        <w:pStyle w:val="BodyText"/>
      </w:pPr>
      <w:r>
        <w:t xml:space="preserve">Table 2. Candidates for best component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Working Fluid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2,2-dimethylbutane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4-methyl-2-pentene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Benzene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Acetone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Cyclopentane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n-hexane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n-heptane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Dichloromethane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n-pentane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R141b</w:t>
            </w:r>
          </w:p>
        </w:tc>
      </w:tr>
    </w:tbl>
    <w:p>
      <w:pPr>
        <w:pStyle w:val="BodyText"/>
      </w:pPr>
      <w:r>
        <w:t xml:space="preserve">In this approach, five components - dichloromethane, FC-72, methanol,</w:t>
      </w:r>
      <w:r>
        <w:t xml:space="preserve"> </w:t>
      </w:r>
      <w:r>
        <w:t xml:space="preserve">n-heptane, and R-113 - are selected.</w:t>
      </w:r>
    </w:p>
    <w:bookmarkEnd w:id="23"/>
    <w:bookmarkStart w:id="24" w:name="configuration-a-approach-2"/>
    <w:p>
      <w:pPr>
        <w:pStyle w:val="Heading1"/>
      </w:pPr>
      <w:r>
        <w:t xml:space="preserve">Configuration A – Approach 2</w:t>
      </w:r>
    </w:p>
    <w:p>
      <w:pPr>
        <w:pStyle w:val="FirstParagraph"/>
      </w:pPr>
      <w:r>
        <w:t xml:space="preserve">In Approach 2, similar to the previous case, the mentioned relations and</w:t>
      </w:r>
      <w:r>
        <w:t xml:space="preserve"> </w:t>
      </w:r>
      <w:r>
        <w:t xml:space="preserve">assumptions are used, with the difference that the turbine outlet is</w:t>
      </w:r>
      <w:r>
        <w:t xml:space="preserve"> </w:t>
      </w:r>
      <w:r>
        <w:t xml:space="preserve">assumed to be saturated vapor at 1 bar pressure, ensuring no liquid</w:t>
      </w:r>
      <w:r>
        <w:t xml:space="preserve"> </w:t>
      </w:r>
      <w:r>
        <w:t xml:space="preserve">forms inside the turbine. Therefore, only the vapor enthalpy is used,</w:t>
      </w:r>
      <w:r>
        <w:t xml:space="preserve"> </w:t>
      </w:r>
      <w:r>
        <w:t xml:space="preserve">resulting in reduced generated work. The same components as in Approach</w:t>
      </w:r>
      <w:r>
        <w:t xml:space="preserve"> </w:t>
      </w:r>
      <w:r>
        <w:t xml:space="preserve">1 are used in Approach 2.</w:t>
      </w:r>
    </w:p>
    <w:bookmarkEnd w:id="24"/>
    <w:bookmarkStart w:id="25" w:name="configuration-a-approach-3"/>
    <w:p>
      <w:pPr>
        <w:pStyle w:val="Heading1"/>
      </w:pPr>
      <w:r>
        <w:t xml:space="preserve">Configuration A – Approach 3</w:t>
      </w:r>
    </w:p>
    <w:p>
      <w:pPr>
        <w:pStyle w:val="FirstParagraph"/>
      </w:pPr>
      <w:r>
        <w:t xml:space="preserve">In Approach 3, the general relations of the previous two approaches are</w:t>
      </w:r>
      <w:r>
        <w:t xml:space="preserve"> </w:t>
      </w:r>
      <w:r>
        <w:t xml:space="preserve">used, with the difference that since only dichloromethane converts to</w:t>
      </w:r>
      <w:r>
        <w:t xml:space="preserve"> </w:t>
      </w:r>
      <w:r>
        <w:t xml:space="preserve">approximately 94% liquid, and the other components remain in their</w:t>
      </w:r>
      <w:r>
        <w:t xml:space="preserve"> </w:t>
      </w:r>
      <w:r>
        <w:t xml:space="preserve">gaseous state, the vapor fraction of this component is included in the</w:t>
      </w:r>
      <w:r>
        <w:t xml:space="preserve"> </w:t>
      </w:r>
      <w:r>
        <w:t xml:space="preserve">equations. Additionally, using Equation 19 [6], the turbine outlet</w:t>
      </w:r>
      <w:r>
        <w:t xml:space="preserve"> </w:t>
      </w:r>
      <w:r>
        <w:t xml:space="preserve">temperature is calculated considering the pressure drop and the K value,</w:t>
      </w:r>
      <w:r>
        <w:t xml:space="preserve"> </w:t>
      </w:r>
      <w:r>
        <w:t xml:space="preserve">which equals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/</m:t>
        </m:r>
        <m:sSub>
          <m:e>
            <m:r>
              <m:t>C</m:t>
            </m:r>
          </m:e>
          <m:sub>
            <m:r>
              <m:t>v</m:t>
            </m:r>
          </m:sub>
        </m:sSub>
      </m:oMath>
      <w:r>
        <w:t xml:space="preserve"> </w:t>
      </w:r>
      <w:r>
        <w:t xml:space="preserve">of the component in the ideal state, and the</w:t>
      </w:r>
      <w:r>
        <w:t xml:space="preserve"> </w:t>
      </w:r>
      <w:r>
        <w:t xml:space="preserve">turbine’s isentropic efficiency equal to 80%. The components used in the</w:t>
      </w:r>
      <w:r>
        <w:t xml:space="preserve"> </w:t>
      </w:r>
      <w:r>
        <w:t xml:space="preserve">Approach 3 are the same as those in the previous two approaches.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  <m:r>
                <m:t>b</m:t>
              </m:r>
              <m:r>
                <m:t>i</m:t>
              </m:r>
              <m:r>
                <m:t>n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T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t>π</m:t>
                  </m:r>
                </m:e>
                <m:sub>
                  <m:r>
                    <m:t>i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k</m:t>
                      </m:r>
                    </m:num>
                    <m:den>
                      <m:r>
                        <m:t>k</m:t>
                      </m:r>
                    </m:den>
                  </m:f>
                </m:sup>
              </m:sSubSup>
            </m:den>
          </m:f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.19</m:t>
          </m:r>
        </m:oMath>
      </m:oMathPara>
    </w:p>
    <w:bookmarkEnd w:id="25"/>
    <w:bookmarkStart w:id="26" w:name="configuration-b"/>
    <w:p>
      <w:pPr>
        <w:pStyle w:val="Heading1"/>
      </w:pPr>
      <w:r>
        <w:t xml:space="preserve">Configuration B</w:t>
      </w:r>
    </w:p>
    <w:p>
      <w:pPr>
        <w:pStyle w:val="FirstParagraph"/>
      </w:pPr>
      <w:r>
        <w:t xml:space="preserve">In the Bonus section of this project, the performance comparison among</w:t>
      </w:r>
      <w:r>
        <w:t xml:space="preserve"> </w:t>
      </w:r>
      <w:r>
        <w:t xml:space="preserve">five components - isohexane, FC-72, R-113, dichloromethane, and R-141b -</w:t>
      </w:r>
      <w:r>
        <w:t xml:space="preserve"> </w:t>
      </w:r>
      <w:r>
        <w:t xml:space="preserve">is conducted. This section follows the structure shown in Figure 2.</w:t>
      </w:r>
    </w:p>
    <w:p>
      <w:pPr>
        <w:pStyle w:val="BodyText"/>
      </w:pPr>
    </w:p>
    <w:p>
      <w:pPr>
        <w:pStyle w:val="BodyText"/>
      </w:pPr>
      <w:r>
        <w:t xml:space="preserve">Figure 2. Configuration B[4]</w:t>
      </w:r>
    </w:p>
    <w:p>
      <w:pPr>
        <w:pStyle w:val="BodyText"/>
      </w:pPr>
      <w:r>
        <w:t xml:space="preserve">The assumptions used in this section are similar to those of Approach 3</w:t>
      </w:r>
      <w:r>
        <w:t xml:space="preserve"> </w:t>
      </w:r>
      <w:r>
        <w:t xml:space="preserve">in Configuation 1, with the difference that the pump outlet temperature</w:t>
      </w:r>
      <w:r>
        <w:t xml:space="preserve"> </w:t>
      </w:r>
      <w:r>
        <w:t xml:space="preserve">is considered to be 304.15 K to maintain the 5°C approach temperature</w:t>
      </w:r>
      <w:r>
        <w:t xml:space="preserve"> </w:t>
      </w:r>
      <w:r>
        <w:t xml:space="preserve">for the middle heat exchanger in Figure 2. With this assumption, the</w:t>
      </w:r>
      <w:r>
        <w:t xml:space="preserve"> </w:t>
      </w:r>
      <w:r>
        <w:t xml:space="preserve">minimum approach temperature for all candidate components is met. Also,</w:t>
      </w:r>
      <w:r>
        <w:t xml:space="preserve"> </w:t>
      </w:r>
      <w:r>
        <w:t xml:space="preserve">the UA values are derived from [7] considering the water-organic fluid</w:t>
      </w:r>
      <w:r>
        <w:t xml:space="preserve"> </w:t>
      </w:r>
      <w:r>
        <w:t xml:space="preserve">type, and the required area for the cycle’s evaporator is determined and</w:t>
      </w:r>
      <w:r>
        <w:t xml:space="preserve"> </w:t>
      </w:r>
      <w:r>
        <w:t xml:space="preserve">substituted into the equations. In this section, similar to the previous</w:t>
      </w:r>
      <w:r>
        <w:t xml:space="preserve"> </w:t>
      </w:r>
      <w:r>
        <w:t xml:space="preserve">sections, the primary task is to calculate the actual enthalpy of the</w:t>
      </w:r>
      <w:r>
        <w:t xml:space="preserve"> </w:t>
      </w:r>
      <w:r>
        <w:t xml:space="preserve">cycle streams, assuming the turbine inlet stream is at 165°C and in the</w:t>
      </w:r>
      <w:r>
        <w:t xml:space="preserve"> </w:t>
      </w:r>
      <w:r>
        <w:t xml:space="preserve">saturated vapor state. By calculating the enthalpy of streams 1, 6, 2,</w:t>
      </w:r>
      <w:r>
        <w:t xml:space="preserve"> </w:t>
      </w:r>
      <w:r>
        <w:t xml:space="preserve">5, and 4 and using two additional relations compared to the previous</w:t>
      </w:r>
      <w:r>
        <w:t xml:space="preserve"> </w:t>
      </w:r>
      <w:r>
        <w:t xml:space="preserve">approaches, 20, 21 and 22, the turbine work, cycle work, and all</w:t>
      </w:r>
      <w:r>
        <w:t xml:space="preserve"> </w:t>
      </w:r>
      <w:r>
        <w:t xml:space="preserve">required parameters are determined and calculated.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6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5</m:t>
              </m:r>
            </m:sub>
          </m:sSub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*</m:t>
          </m:r>
          <m:r>
            <m:t>A</m:t>
          </m:r>
          <m:r>
            <m:rPr>
              <m:sty m:val="p"/>
            </m:rPr>
            <m:t>*</m:t>
          </m:r>
          <m:r>
            <m:t>f</m:t>
          </m:r>
          <m:r>
            <m:rPr>
              <m:sty m:val="p"/>
            </m:rPr>
            <m:t>*</m:t>
          </m:r>
          <m:r>
            <m:t>L</m:t>
          </m:r>
          <m:r>
            <m:t>M</m:t>
          </m:r>
          <m:r>
            <m:t>T</m:t>
          </m:r>
          <m:r>
            <m:t>D</m:t>
          </m:r>
          <m:r>
            <m:rPr>
              <m:sty m:val="p"/>
            </m:rPr>
            <m:t>=</m:t>
          </m:r>
          <m:r>
            <m:t> 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w</m:t>
              </m:r>
            </m:sub>
          </m:sSub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w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Δ</m:t>
              </m:r>
              <m:r>
                <m:t>T</m:t>
              </m:r>
            </m:e>
          </m:d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e</m:t>
          </m:r>
          <m:r>
            <m:t>q</m:t>
          </m:r>
          <m:r>
            <m:t>.21</m:t>
          </m:r>
        </m:oMath>
      </m:oMathPara>
    </w:p>
    <w:p>
      <w:pPr>
        <w:pStyle w:val="FirstParagraph"/>
      </w:pPr>
      <m:oMath>
        <m:r>
          <m:t>L</m:t>
        </m:r>
        <m:r>
          <m:t>M</m:t>
        </m:r>
        <m:r>
          <m:t>T</m:t>
        </m:r>
        <m:r>
          <m:t>D</m:t>
        </m:r>
        <m:r>
          <m:rPr>
            <m:sty m:val="p"/>
          </m:rPr>
          <m:t>=</m:t>
        </m:r>
        <m:r>
          <m:t> 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,</m:t>
                    </m:r>
                    <m:r>
                      <m:t>w</m:t>
                    </m:r>
                    <m:r>
                      <m:t>a</m:t>
                    </m:r>
                    <m:r>
                      <m:t>s</m:t>
                    </m:r>
                    <m:r>
                      <m:t>t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T</m:t>
                    </m:r>
                  </m:e>
                  <m:sub>
                    <m:r>
                      <m:t>o</m:t>
                    </m:r>
                    <m:r>
                      <m:t>u</m:t>
                    </m:r>
                    <m:r>
                      <m:t>t</m:t>
                    </m:r>
                    <m:r>
                      <m:rPr>
                        <m:sty m:val="p"/>
                      </m:rPr>
                      <m:t>,</m:t>
                    </m:r>
                    <m:r>
                      <m:t>w</m:t>
                    </m:r>
                    <m:r>
                      <m:t>a</m:t>
                    </m:r>
                    <m:r>
                      <m:t>s</m:t>
                    </m:r>
                    <m:r>
                      <m:t>t</m:t>
                    </m:r>
                    <m:r>
                      <m:t>e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T</m:t>
                    </m:r>
                  </m:e>
                  <m:sub>
                    <m:r>
                      <m:t>6</m:t>
                    </m:r>
                  </m:sub>
                </m:sSub>
              </m:e>
            </m:d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num>
              <m:den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T</m:t>
                        </m:r>
                      </m:e>
                      <m:sub>
                        <m:r>
                          <m:t>o</m:t>
                        </m:r>
                        <m:r>
                          <m:t>u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w</m:t>
                        </m:r>
                        <m:r>
                          <m:t>a</m:t>
                        </m:r>
                        <m:r>
                          <m:t>s</m:t>
                        </m:r>
                        <m:r>
                          <m:t>t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e>
                </m:d>
              </m:den>
            </m:f>
          </m:den>
        </m:f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eq.22</w:t>
      </w:r>
    </w:p>
    <w:bookmarkEnd w:id="26"/>
    <w:bookmarkStart w:id="27" w:name="results-discussion"/>
    <w:p>
      <w:pPr>
        <w:pStyle w:val="Heading1"/>
      </w:pPr>
      <w:r>
        <w:t xml:space="preserve">Results &amp; discussion</w:t>
      </w:r>
    </w:p>
    <w:p>
      <w:pPr>
        <w:pStyle w:val="FirstParagraph"/>
      </w:pPr>
      <w:r>
        <w:t xml:space="preserve">This section consolidates and interprets the model results for Configuration A (Approaches 1–3) and Configuration B, and cross-checks them against Aspen HYSYS. All thermodynamic properties were calculated with the Peng–Robinson EOS and Kamath’s cubic handling; agreement with HYSYS is reported via the per-row error columns in Tables 3–6.</w:t>
      </w:r>
    </w:p>
    <w:p>
      <w:pPr>
        <w:pStyle w:val="BodyText"/>
      </w:pPr>
      <w:r>
        <w:t xml:space="preserve">Configuration A — Approach 1 (Table 3)</w:t>
      </w:r>
      <w:r>
        <w:t xml:space="preserve"> </w:t>
      </w:r>
      <w:r>
        <w:t xml:space="preserve">- FC‑72 emerges as the best candidate in this approach.</w:t>
      </w:r>
      <w:r>
        <w:t xml:space="preserve"> </w:t>
      </w:r>
      <w:r>
        <w:t xml:space="preserve">- Turbine work and pump work from the model are 22,639.9 kW and 311.66 kW, respectively, yielding a net cycle work of approximately 22.33 MW.</w:t>
      </w:r>
      <w:r>
        <w:t xml:space="preserve"> </w:t>
      </w:r>
      <w:r>
        <w:t xml:space="preserve">- State properties (Z factors and enthalpies) match HYSYS closely; average deviations are within about 0.3%, confirming the PR+Kamath implementation is consistent with the flowsheet simulator.</w:t>
      </w:r>
    </w:p>
    <w:p>
      <w:pPr>
        <w:pStyle w:val="BodyText"/>
      </w:pPr>
      <w:r>
        <w:t xml:space="preserve">Configuration A — Approach 2 (Table 4)</w:t>
      </w:r>
      <w:r>
        <w:t xml:space="preserve"> </w:t>
      </w:r>
      <w:r>
        <w:t xml:space="preserve">- Under the saturated-vapor constraint at the turbine outlet (1 bar), the model reports turbine and pump works of 20,290.6 kW and 311.54 kW, giving a net work of roughly 19.98 MW.</w:t>
      </w:r>
      <w:r>
        <w:t xml:space="preserve"> </w:t>
      </w:r>
      <w:r>
        <w:t xml:space="preserve">- FC‑72 remains the preferred fluid under these assumptions. The reduction in net work versus Approach 1 is expected because the outlet quality constraint limits the expansion end-point and effective pressure ratio.</w:t>
      </w:r>
      <w:r>
        <w:t xml:space="preserve"> </w:t>
      </w:r>
      <w:r>
        <w:t xml:space="preserve">- Agreement with HYSYS remains strong (average errors ~0.35%).</w:t>
      </w:r>
    </w:p>
    <w:p>
      <w:pPr>
        <w:pStyle w:val="BodyText"/>
      </w:pPr>
      <w:r>
        <w:t xml:space="preserve">Configuration A — Approach 3 (Table 5)</w:t>
      </w:r>
      <w:r>
        <w:t xml:space="preserve"> </w:t>
      </w:r>
      <w:r>
        <w:t xml:space="preserve">- With the additional modeling assumptions in Approach 3, dichloromethane (DCM) becomes the selected fluid.</w:t>
      </w:r>
      <w:r>
        <w:t xml:space="preserve"> </w:t>
      </w:r>
      <w:r>
        <w:t xml:space="preserve">- Turbine and pump works are 8,705.6 kW and 240.62 kW, respectively, implying a net work of about 8.46 MW.</w:t>
      </w:r>
      <w:r>
        <w:t xml:space="preserve"> </w:t>
      </w:r>
      <w:r>
        <w:t xml:space="preserve">- Despite the lower power, thermodynamic consistency is high (errors ~0.57%). The drop in net work aligns with the tighter end-state constraints and different fluid behavior near saturation.</w:t>
      </w:r>
    </w:p>
    <w:p>
      <w:pPr>
        <w:pStyle w:val="BodyText"/>
      </w:pPr>
      <w:r>
        <w:t xml:space="preserve">Configuration B (Table 6)</w:t>
      </w:r>
      <w:r>
        <w:t xml:space="preserve"> </w:t>
      </w:r>
      <w:r>
        <w:t xml:space="preserve">- For the recuperated cycle, R141b is identified as the top candidate among the tested set.</w:t>
      </w:r>
      <w:r>
        <w:t xml:space="preserve"> </w:t>
      </w:r>
      <w:r>
        <w:t xml:space="preserve">- Turbine and pump works are 9,330.12 kW and 400.54 kW, respectively, giving a net work near 8.93 MW.</w:t>
      </w:r>
      <w:r>
        <w:t xml:space="preserve"> </w:t>
      </w:r>
      <w:r>
        <w:t xml:space="preserve">- The inversion in ranking between DCM and R141b compared with Configuration A is physically plausible: in Config B, the turbine exhaust thermodynamic state and the recuperator thermal match can favor fluids that leave the turbine superheated, improving internal heat recovery.</w:t>
      </w:r>
    </w:p>
    <w:p>
      <w:pPr>
        <w:pStyle w:val="BodyText"/>
      </w:pPr>
      <w:r>
        <w:t xml:space="preserve">Cross-comparison and trends</w:t>
      </w:r>
      <w:r>
        <w:t xml:space="preserve"> </w:t>
      </w:r>
      <w:r>
        <w:t xml:space="preserve">- Among Configuration A approaches, Approach 1 delivers the highest net work (≈22.33 MW), followed by Approach 2 (≈19.98 MW), then Approach 3 (≈8.46 MW). The ordering follows directly from the outlet state constraints and effective expansion spans.</w:t>
      </w:r>
      <w:r>
        <w:t xml:space="preserve"> </w:t>
      </w:r>
      <w:r>
        <w:t xml:space="preserve">- Configuration B in this dataset provides ≈8.93 MW with R141b. Whether Config B surpasses Config A depends on the working-fluid set and recuperator pinch/UA assumptions; with a broader fluid set and tuned heat-integration, recuperation often improves net work at otherwise fixed constraints.</w:t>
      </w:r>
      <w:r>
        <w:t xml:space="preserve"> </w:t>
      </w:r>
      <w:r>
        <w:t xml:space="preserve">- Across all cases, Z‑factor and enthalpy agreements with HYSYS (typically &lt;1–3%) validate the PR EOS + Kamath property route used in the equation‑oriented model.</w:t>
      </w:r>
    </w:p>
    <w:p>
      <w:pPr>
        <w:pStyle w:val="BodyText"/>
      </w:pPr>
      <w:r>
        <w:t xml:space="preserve">Takeaways</w:t>
      </w:r>
      <w:r>
        <w:t xml:space="preserve"> </w:t>
      </w:r>
      <w:r>
        <w:t xml:space="preserve">- FC‑72 is consistently strong under Approaches 1–2 of Config A; DCM performs best under the stricter Approach‑3 constraints; R141b leads in Config B with recuperation.</w:t>
      </w:r>
      <w:r>
        <w:t xml:space="preserve"> </w:t>
      </w:r>
      <w:r>
        <w:t xml:space="preserve">- Differences in net work across approaches reflect constraint choices (outlet quality, saturation vs. superheat) rather than inconsistencies. When the outlet is forced to saturated vapor, the expansion end-point temperature rises, reducing specific work.</w:t>
      </w:r>
      <w:r>
        <w:t xml:space="preserve"> </w:t>
      </w:r>
      <w:r>
        <w:t xml:space="preserve">- For design, selecting the approach should follow the intended turbine design window and heat-exchanger pinch/UA targets; if recuperation is pursued, fluids exiting superheated can improve internal heat recovery and overall performance.</w:t>
      </w:r>
      <w:r>
        <w:t xml:space="preserve"> </w:t>
      </w:r>
      <w:r>
        <w:t xml:space="preserve"># Conclusion</w:t>
      </w:r>
    </w:p>
    <w:p>
      <w:pPr>
        <w:pStyle w:val="BodyText"/>
      </w:pPr>
      <w:r>
        <w:t xml:space="preserve">The performance evaluation of different working fluids in ORC systems</w:t>
      </w:r>
      <w:r>
        <w:t xml:space="preserve"> </w:t>
      </w:r>
      <w:r>
        <w:t xml:space="preserve">reveals significant insights into optimizing energy efficiency. The</w:t>
      </w:r>
      <w:r>
        <w:t xml:space="preserve"> </w:t>
      </w:r>
      <w:r>
        <w:t xml:space="preserve">experimental studies and simulations demonstrate that the selection of</w:t>
      </w:r>
      <w:r>
        <w:t xml:space="preserve"> </w:t>
      </w:r>
      <w:r>
        <w:t xml:space="preserve">appropriate working fluids, such as cyclopentane, FC-72, and</w:t>
      </w:r>
      <w:r>
        <w:t xml:space="preserve"> </w:t>
      </w:r>
      <w:r>
        <w:t xml:space="preserve">dichloromethane, is crucial for maximizing the efficiency of ORC</w:t>
      </w:r>
      <w:r>
        <w:t xml:space="preserve"> </w:t>
      </w:r>
      <w:r>
        <w:t xml:space="preserve">configurations. The findings show that FC-72 consistently achieved the</w:t>
      </w:r>
      <w:r>
        <w:t xml:space="preserve"> </w:t>
      </w:r>
      <w:r>
        <w:t xml:space="preserve">highest net work output across different approaches, emphasizing the</w:t>
      </w:r>
      <w:r>
        <w:t xml:space="preserve"> </w:t>
      </w:r>
      <w:r>
        <w:t xml:space="preserve">importance of molecular weight and density in fluid performance. The</w:t>
      </w:r>
      <w:r>
        <w:t xml:space="preserve"> </w:t>
      </w:r>
      <w:r>
        <w:t xml:space="preserve">comparison between various configurations also highlights that fluids</w:t>
      </w:r>
      <w:r>
        <w:t xml:space="preserve"> </w:t>
      </w:r>
      <w:r>
        <w:t xml:space="preserve">exiting the turbine in a saturated vapor state perform better than those</w:t>
      </w:r>
      <w:r>
        <w:t xml:space="preserve"> </w:t>
      </w:r>
      <w:r>
        <w:t xml:space="preserve">in a superheated state, due to enhanced thermal exchange capabilities.</w:t>
      </w:r>
    </w:p>
    <w:p>
      <w:pPr>
        <w:pStyle w:val="BodyText"/>
      </w:pPr>
      <w:r>
        <w:t xml:space="preserve">References</w:t>
      </w:r>
    </w:p>
    <w:p>
      <w:pPr>
        <w:pStyle w:val="BodyText"/>
      </w:pPr>
      <w:r>
        <w:t xml:space="preserve">[1] : Wammedh Khider Abbas, Experimental Study of two cascade.., 2021.</w:t>
      </w:r>
    </w:p>
    <w:p>
      <w:pPr>
        <w:pStyle w:val="BodyText"/>
      </w:pPr>
      <w:r>
        <w:t xml:space="preserve">[2] : Haoshui Yu, Optimal design and operation, 2021.</w:t>
      </w:r>
    </w:p>
    <w:p>
      <w:pPr>
        <w:pStyle w:val="BodyText"/>
      </w:pPr>
      <w:r>
        <w:t xml:space="preserve">[3] : Wammedh Khider Abbas, Cascaded dual-loop organic… , 2021.</w:t>
      </w:r>
    </w:p>
    <w:p>
      <w:pPr>
        <w:pStyle w:val="BodyText"/>
      </w:pPr>
      <w:r>
        <w:t xml:space="preserve">[4] : Palma-Flores, O., Flores-Tlacuahuac, A., &amp; Canseco-Melchor, G.</w:t>
      </w:r>
      <w:r>
        <w:t xml:space="preserve"> </w:t>
      </w:r>
      <w:r>
        <w:t xml:space="preserve">(2015)</w:t>
      </w:r>
    </w:p>
    <w:p>
      <w:pPr>
        <w:pStyle w:val="BodyText"/>
      </w:pPr>
      <w:r>
        <w:t xml:space="preserve">[5] : Lee, computional method in chemical eng, 2019.</w:t>
      </w:r>
    </w:p>
    <w:p>
      <w:pPr>
        <w:pStyle w:val="BodyText"/>
      </w:pPr>
      <w:r>
        <w:t xml:space="preserve">[6] : stlukes-glenrothes.org</w:t>
      </w:r>
    </w:p>
    <w:p>
      <w:pPr>
        <w:pStyle w:val="BodyText"/>
      </w:pPr>
      <w:r>
        <w:t xml:space="preserve">[7] : biegler &amp; grossmann, systematic methods, 1997.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Equations of State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Peng Robinson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2025-08-20T08:36:57Z</dcterms:created>
  <dcterms:modified xsi:type="dcterms:W3CDTF">2025-08-20T08:36:57Z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