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pPr>
        <w:jc w:val="left"/>
      </w:pPr>
      <w:r>
        <w:rPr>
          <w:b/>
        </w:rPr>
        <w:t>Part A Results</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Description</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 [kJ/s]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left"/>
      </w:pPr>
      <w:r>
        <w:rPr>
          <w:b w:val="0"/>
        </w:rPr>
        <w:t>Based on the modeling results, the selected working fluid is the same as the one obtained in the HYSYS simulation. The modeling errors relative to the HYSYS simulation are generally small across most variables; however, the model did not perform well for the turbine work and the enthalpy of stream 2.</w:t>
        <w:br/>
        <w:br/>
        <w:t>Conclusion: Considering the five tested fluids, we observe that fluids with larger molecular weight yield higher Wnet. In line with prior studies indicating that working fluids with higher critical temperatures are suitable for this cycle (1, 2), a larger molecular weight can be added to the desirable attributes for fluid selection.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