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0"/>
    <w:bookmarkStart w:id="21" w:name="introduction"/>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1"/>
    <w:bookmarkStart w:id="22" w:name="problem-statement"/>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2"/>
    <w:bookmarkStart w:id="23" w:name="problem-formulation"/>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23"/>
    <w:bookmarkStart w:id="24"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24"/>
    <w:bookmarkStart w:id="25" w:name="results-and-discussions"/>
    <w:p>
      <w:pPr>
        <w:pStyle w:val="Heading3"/>
      </w:pPr>
      <w:r>
        <w:t xml:space="preserve">Results and Discussions</w:t>
      </w:r>
    </w:p>
    <w:p>
      <w:pPr>
        <w:pStyle w:val="FirstParagraph"/>
      </w:pPr>
      <w:r>
        <w:t xml:space="preserve">We assessed two equation-oriented formulations: (i) a single-objective baseline that maximizes net power (W_net) and (ii) an environmentally-aware multi-objective variant that penalizes high working-fluid flow, excessive high-side pressure, and environmentally unfavorable fluids. Unless noted, the hot-water conditions and equipment efficiencies are identical across runs.</w:t>
      </w:r>
    </w:p>
    <w:p>
      <w:pPr>
        <w:pStyle w:val="BodyText"/>
      </w:pPr>
      <w:r>
        <w:t xml:space="preserve">Core results from the baseline model (repository detailed report):</w:t>
      </w:r>
      <w:r>
        <w:t xml:space="preserve"> </w:t>
      </w:r>
      <w:r>
        <w:t xml:space="preserve">- Configuration A (simple ORC):</w:t>
      </w:r>
      <w:r>
        <w:t xml:space="preserve"> </w:t>
      </w:r>
      <w:r>
        <w:t xml:space="preserve">- Net power: ≈ 12.37 MW</w:t>
      </w:r>
      <w:r>
        <w:t xml:space="preserve"> </w:t>
      </w:r>
      <w:r>
        <w:t xml:space="preserve">- Selected working fluid: R290</w:t>
      </w:r>
      <w:r>
        <w:t xml:space="preserve"> </w:t>
      </w:r>
      <w:r>
        <w:t xml:space="preserve">- Working-fluid mass flow: ≈ 107.7 kg/s</w:t>
      </w:r>
      <w:r>
        <w:t xml:space="preserve"> </w:t>
      </w:r>
      <w:r>
        <w:t xml:space="preserve">- Configuration B (recuperated ORC):</w:t>
      </w:r>
      <w:r>
        <w:t xml:space="preserve"> </w:t>
      </w:r>
      <w:r>
        <w:t xml:space="preserve">- Net power: ≈ 14.22 MW</w:t>
      </w:r>
      <w:r>
        <w:t xml:space="preserve"> </w:t>
      </w:r>
      <w:r>
        <w:t xml:space="preserve">- Selected working fluid: R290</w:t>
      </w:r>
      <w:r>
        <w:t xml:space="preserve"> </w:t>
      </w:r>
      <w:r>
        <w:t xml:space="preserve">- Working-fluid mass flow: ≈ 107.7 kg/s</w:t>
      </w:r>
    </w:p>
    <w:p>
      <w:pPr>
        <w:pStyle w:val="BodyText"/>
      </w:pPr>
      <w:r>
        <w:t xml:space="preserve">Interpretation:</w:t>
      </w:r>
      <w:r>
        <w:t xml:space="preserve"> </w:t>
      </w:r>
      <w:r>
        <w:t xml:space="preserve">- At identical source/sink conditions, recuperation increases the available temperature glide for preheating the working fluid, reducing external heat demand and improving the cycle’s net work (≈ +1.85 MW vs Configuration A).</w:t>
      </w:r>
      <w:r>
        <w:t xml:space="preserve"> </w:t>
      </w:r>
      <w:r>
        <w:t xml:space="preserve">- R290 appears as a robust choice for both configurations under the stated bounds, reflecting an adequate balance of critical properties (Tc, Pc) and acentric factor for the specified condenser and evaporator targets.</w:t>
      </w:r>
    </w:p>
    <w:p>
      <w:pPr>
        <w:pStyle w:val="BodyText"/>
      </w:pPr>
      <w:r>
        <w:t xml:space="preserve">Effect of objective structure (multi-objective variant):</w:t>
      </w:r>
      <w:r>
        <w:t xml:space="preserve"> </w:t>
      </w:r>
      <w:r>
        <w:t xml:space="preserve">- When modest penalty weights are introduced (λ_mass, λ_press, λ_env), the optimizer shifts towards solutions with lower high-side pressure and reduced working-fluid flow, typically sacrificing a small fraction of W_net while improving operational headroom and environmental preference.</w:t>
      </w:r>
      <w:r>
        <w:t xml:space="preserve"> </w:t>
      </w:r>
      <w:r>
        <w:t xml:space="preserve">- Reducing penalty weights or relaxing pressure bounds shifts the solution back towards the single‑objective outcome (higher W_net, larger m_wf, and higher P_high). This controllable trade‑off allows tailoring the design to site priorities (pure power vs. sustainability/safety margins).</w:t>
      </w:r>
    </w:p>
    <w:p>
      <w:pPr>
        <w:pStyle w:val="BodyText"/>
      </w:pPr>
      <w:r>
        <w:t xml:space="preserve">Robustness and model fidelity:</w:t>
      </w:r>
      <w:r>
        <w:t xml:space="preserve"> </w:t>
      </w:r>
      <w:r>
        <w:t xml:space="preserve">- The PR EOS with Kamath’s cubic handling provided stable compressibility factors and departure enthalpies across all state points, enabling consistent energy balances in both configurations.</w:t>
      </w:r>
      <w:r>
        <w:t xml:space="preserve"> </w:t>
      </w:r>
      <w:r>
        <w:t xml:space="preserve">- Practical bounds on pressure relative to critical pressure (P_high ≤ α_pc Pc) prevent unrealistic operation near the critical region while still allowing competitive power.</w:t>
      </w:r>
    </w:p>
    <w:p>
      <w:pPr>
        <w:pStyle w:val="BodyText"/>
      </w:pPr>
      <w:r>
        <w:t xml:space="preserve">Design implications:</w:t>
      </w:r>
      <w:r>
        <w:t xml:space="preserve"> </w:t>
      </w:r>
      <w:r>
        <w:t xml:space="preserve">- If the project prioritizes maximum power at fixed source/sink conditions, the baseline formulation with recuperation is preferred.</w:t>
      </w:r>
      <w:r>
        <w:t xml:space="preserve"> </w:t>
      </w:r>
      <w:r>
        <w:t xml:space="preserve">- If safety, equipment cost, or environmental impact must be weighted explicitly, the multi‑objective formulation offers a principled lever to trade a modest amount of power for lower P_high, reduced m_wf, and more sustainable fluid choices.</w:t>
      </w:r>
    </w:p>
    <w:p>
      <w:pPr>
        <w:pStyle w:val="BodyText"/>
      </w:pPr>
      <w:r>
        <w:t xml:space="preserve">Representative EO model tables</w:t>
      </w:r>
    </w:p>
    <w:p>
      <w:pPr>
        <w:pStyle w:val="BodyText"/>
      </w:pPr>
      <w:r>
        <w:t xml:space="preserve">Configuration A — EO baseline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 EO baseline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Benchmark context (Config A, literature-style for different assumptions/fluids)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Approach</w:t>
            </w:r>
          </w:p>
        </w:tc>
        <w:tc>
          <w:tcPr/>
          <w:p>
            <w:pPr>
              <w:pStyle w:val="Compact"/>
              <w:jc w:val="left"/>
            </w:pPr>
            <w:r>
              <w:t xml:space="preserve">Best fluid</w:t>
            </w:r>
          </w:p>
        </w:tc>
        <w:tc>
          <w:tcPr/>
          <w:p>
            <w:pPr>
              <w:pStyle w:val="Compact"/>
              <w:jc w:val="left"/>
            </w:pPr>
            <w:r>
              <w:t xml:space="preserve">Net work (MW)</w:t>
            </w:r>
          </w:p>
        </w:tc>
      </w:tr>
      <w:tr>
        <w:tc>
          <w:tcPr/>
          <w:p>
            <w:pPr>
              <w:pStyle w:val="Compact"/>
              <w:jc w:val="left"/>
            </w:pPr>
            <w:r>
              <w:t xml:space="preserve">1</w:t>
            </w:r>
          </w:p>
        </w:tc>
        <w:tc>
          <w:tcPr/>
          <w:p>
            <w:pPr>
              <w:pStyle w:val="Compact"/>
              <w:jc w:val="left"/>
            </w:pPr>
            <w:r>
              <w:t xml:space="preserve">FC‑72</w:t>
            </w:r>
          </w:p>
        </w:tc>
        <w:tc>
          <w:tcPr/>
          <w:p>
            <w:pPr>
              <w:pStyle w:val="Compact"/>
              <w:jc w:val="left"/>
            </w:pPr>
            <w:r>
              <w:t xml:space="preserve">21.30</w:t>
            </w:r>
          </w:p>
        </w:tc>
      </w:tr>
      <w:tr>
        <w:tc>
          <w:tcPr/>
          <w:p>
            <w:pPr>
              <w:pStyle w:val="Compact"/>
              <w:jc w:val="left"/>
            </w:pPr>
            <w:r>
              <w:t xml:space="preserve">2</w:t>
            </w:r>
          </w:p>
        </w:tc>
        <w:tc>
          <w:tcPr/>
          <w:p>
            <w:pPr>
              <w:pStyle w:val="Compact"/>
              <w:jc w:val="left"/>
            </w:pPr>
            <w:r>
              <w:t xml:space="preserve">FC‑72</w:t>
            </w:r>
          </w:p>
        </w:tc>
        <w:tc>
          <w:tcPr/>
          <w:p>
            <w:pPr>
              <w:pStyle w:val="Compact"/>
              <w:jc w:val="left"/>
            </w:pPr>
            <w:r>
              <w:t xml:space="preserve">18.96</w:t>
            </w:r>
          </w:p>
        </w:tc>
      </w:tr>
      <w:tr>
        <w:tc>
          <w:tcPr/>
          <w:p>
            <w:pPr>
              <w:pStyle w:val="Compact"/>
              <w:jc w:val="left"/>
            </w:pPr>
            <w:r>
              <w:t xml:space="preserve">3</w:t>
            </w:r>
          </w:p>
        </w:tc>
        <w:tc>
          <w:tcPr/>
          <w:p>
            <w:pPr>
              <w:pStyle w:val="Compact"/>
              <w:jc w:val="left"/>
            </w:pPr>
            <w:r>
              <w:t xml:space="preserve">Dichloromethane</w:t>
            </w:r>
          </w:p>
        </w:tc>
        <w:tc>
          <w:tcPr/>
          <w:p>
            <w:pPr>
              <w:pStyle w:val="Compact"/>
              <w:jc w:val="left"/>
            </w:pPr>
            <w:r>
              <w:t xml:space="preserve">8.03</w:t>
            </w:r>
          </w:p>
        </w:tc>
      </w:tr>
    </w:tbl>
    <w:p>
      <w:pPr>
        <w:pStyle w:val="BodyText"/>
      </w:pPr>
      <w:r>
        <w:t xml:space="preserve">Notes:</w:t>
      </w:r>
      <w:r>
        <w:t xml:space="preserve"> </w:t>
      </w:r>
      <w:r>
        <w:t xml:space="preserve">- The EO results above reflect our optimization bounds and fluid set; absolute values vary with condenser/evaporator targets, allowable pressure ratios, and fluid assumptions.</w:t>
      </w:r>
      <w:r>
        <w:t xml:space="preserve"> </w:t>
      </w:r>
      <w:r>
        <w:t xml:space="preserve">- The recuperated configuration increases W_net relative to the simple cycle due to internal heat recovery; the magnitude depends on recuperator pinch/UA and the turbine exhaust state.</w:t>
      </w:r>
    </w:p>
    <w:bookmarkEnd w:id="25"/>
    <w:bookmarkStart w:id="26"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26"/>
    <w:bookmarkStart w:id="27"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2025-08-20T08:56:08Z</dcterms:created>
  <dcterms:modified xsi:type="dcterms:W3CDTF">2025-08-20T08:56:08Z</dcterms:modified>
</cp:coreProperties>
</file>

<file path=docProps/custom.xml><?xml version="1.0" encoding="utf-8"?>
<Properties xmlns="http://schemas.openxmlformats.org/officeDocument/2006/custom-properties" xmlns:vt="http://schemas.openxmlformats.org/officeDocument/2006/docPropsVTypes"/>
</file>