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0"/>
    <w:bookmarkStart w:id="21" w:name="introduction"/>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1"/>
    <w:bookmarkStart w:id="22" w:name="problem-statement"/>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2"/>
    <w:bookmarkStart w:id="23" w:name="problem-formulation"/>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23"/>
    <w:bookmarkStart w:id="24"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24"/>
    <w:bookmarkStart w:id="25" w:name="results-and-discussions"/>
    <w:p>
      <w:pPr>
        <w:pStyle w:val="Heading3"/>
      </w:pPr>
      <w:r>
        <w:t xml:space="preserve">Results and Discussions</w:t>
      </w:r>
    </w:p>
    <w:p>
      <w:pPr>
        <w:pStyle w:val="FirstParagraph"/>
      </w:pPr>
      <w:r>
        <w:t xml:space="preserve">We evaluated both a single-objective baseline (maximize W_net) and the environmentally-aware multi-objective variant. Using the same hot-water specifications and equipment efficiencies across variants, representative results from our repository are:</w:t>
      </w:r>
      <w:r>
        <w:t xml:space="preserve"> </w:t>
      </w:r>
      <w:r>
        <w:t xml:space="preserve">- Baseline detailed report (single-objective, simple/recuperated cycles):</w:t>
      </w:r>
      <w:r>
        <w:t xml:space="preserve"> </w:t>
      </w:r>
      <w:r>
        <w:t xml:space="preserve">- Configuration A: Net power ≈ 12.37 MW, Selected fluid R290, m_wf ≈ 107.7 kg/s</w:t>
      </w:r>
      <w:r>
        <w:t xml:space="preserve"> </w:t>
      </w:r>
      <w:r>
        <w:t xml:space="preserve">- Configuration B: Net power ≈ 14.22 MW, Selected fluid R290, m_wf ≈ 107.7 kg/s</w:t>
      </w:r>
      <w:r>
        <w:t xml:space="preserve"> </w:t>
      </w:r>
      <w:r>
        <w:t xml:space="preserve">- Literature-style benchmarks (friend’s PDF, Config A only, different assumptions and fluids):</w:t>
      </w:r>
      <w:r>
        <w:t xml:space="preserve"> </w:t>
      </w:r>
      <w:r>
        <w:t xml:space="preserve">- Approach 1: FC-72, net work ≈ 21.30 MW</w:t>
      </w:r>
      <w:r>
        <w:t xml:space="preserve"> </w:t>
      </w:r>
      <w:r>
        <w:t xml:space="preserve">- Approach 2: FC-72, net work ≈ 18.96 MW</w:t>
      </w:r>
      <w:r>
        <w:t xml:space="preserve"> </w:t>
      </w:r>
      <w:r>
        <w:t xml:space="preserve">- Approach 3: Dichloromethane, net work ≈ 8.03 MW</w:t>
      </w:r>
    </w:p>
    <w:p>
      <w:pPr>
        <w:pStyle w:val="BodyText"/>
      </w:pPr>
      <w:r>
        <w:t xml:space="preserve">Differences arise from (i) objective structure (pure W_net vs multi-objective including environmental/operability penalties), (ii) cycle configuration (recuperation increases W_net in our Config B), (iii) parameter bounds and pressure limits (we cap P_high below Pc to ensure realism), and (iv) working-fluid sets and bias (we favor lower-impact fluids at similar thermodynamic suitability). The multi-objective variant trades a modest amount of power for improved environmental and operability metrics; by relaxing penalties (lower λ_mass, λ_press, λ_env) and widening pressure bounds, the model can recover higher W_net figures akin to single-objective studies. Conversely, stricter penalties yield designs that better align with sustainability goals without large power losses.</w:t>
      </w:r>
    </w:p>
    <w:bookmarkEnd w:id="25"/>
    <w:bookmarkStart w:id="26"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26"/>
    <w:bookmarkStart w:id="27"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2025-08-20T08:19:07Z</dcterms:created>
  <dcterms:modified xsi:type="dcterms:W3CDTF">2025-08-20T08:19:07Z</dcterms:modified>
</cp:coreProperties>
</file>

<file path=docProps/custom.xml><?xml version="1.0" encoding="utf-8"?>
<Properties xmlns="http://schemas.openxmlformats.org/officeDocument/2006/custom-properties" xmlns:vt="http://schemas.openxmlformats.org/officeDocument/2006/docPropsVTypes"/>
</file>