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p w14:paraId="041DED7C" w14:textId="77777777" w:rsidR="00374D33" w:rsidRPr="00374D33" w:rsidRDefault="00374D33" w:rsidP="00374D33">
      <w:pPr>
        <w:ind w:left="360"/>
        <w:jc w:val="left"/>
        <w:rPr>
          <w:sz w:val="24"/>
          <w:szCs w:val="24"/>
        </w:rPr>
      </w:pPr>
    </w:p>
    <w:p w14:paraId="3B008E78" w14:textId="068F25A8" w:rsidR="00374D33" w:rsidRPr="00374D33" w:rsidRDefault="00374D33" w:rsidP="00374D33">
      <w:pPr>
        <w:pStyle w:val="ListParagraph"/>
        <w:numPr>
          <w:ilvl w:val="0"/>
          <w:numId w:val="16"/>
        </w:numPr>
        <w:jc w:val="left"/>
        <w:rPr>
          <w:b/>
          <w:bCs/>
          <w:sz w:val="24"/>
          <w:szCs w:val="24"/>
        </w:rPr>
      </w:pPr>
      <w:proofErr w:type="spellStart"/>
      <w:r w:rsidRPr="00374D33">
        <w:rPr>
          <w:b/>
          <w:bCs/>
          <w:sz w:val="24"/>
          <w:szCs w:val="24"/>
        </w:rPr>
        <w:t>C</w:t>
      </w:r>
      <w:r>
        <w:rPr>
          <w:b/>
          <w:bCs/>
          <w:sz w:val="24"/>
          <w:szCs w:val="24"/>
        </w:rPr>
        <w:t>onclutions</w:t>
      </w:r>
      <w:proofErr w:type="spellEnd"/>
    </w:p>
    <w:p w14:paraId="0DE8CC5C" w14:textId="77777777" w:rsidR="00F4341B" w:rsidRDefault="00F4341B" w:rsidP="00F4341B">
      <w:pPr>
        <w:jc w:val="both"/>
        <w:rPr>
          <w:rFonts w:asciiTheme="majorBidi" w:hAnsiTheme="majorBidi" w:cstheme="majorBidi"/>
          <w:sz w:val="24"/>
          <w:szCs w:val="24"/>
          <w:lang w:bidi="fa-IR"/>
        </w:rPr>
      </w:pPr>
    </w:p>
    <w:p w14:paraId="3550EC39" w14:textId="77777777" w:rsidR="00F4341B" w:rsidRDefault="00F4341B" w:rsidP="00D36DC5">
      <w:pPr>
        <w:ind w:firstLine="216"/>
        <w:jc w:val="both"/>
        <w:rPr>
          <w:rFonts w:asciiTheme="majorBidi" w:hAnsiTheme="majorBidi" w:cstheme="majorBidi"/>
          <w:sz w:val="24"/>
          <w:szCs w:val="24"/>
          <w:lang w:bidi="fa-IR"/>
        </w:rPr>
      </w:pPr>
    </w:p>
    <w:p w14:paraId="21A401F4" w14:textId="77777777" w:rsidR="00AE1CA5" w:rsidRDefault="00AE1CA5" w:rsidP="000120B7">
      <w:pPr>
        <w:jc w:val="both"/>
        <w:rPr>
          <w:sz w:val="24"/>
          <w:szCs w:val="24"/>
        </w:rPr>
      </w:pPr>
    </w:p>
    <w:p w14:paraId="60412363" w14:textId="626D996E" w:rsidR="00ED13D6" w:rsidRPr="00066962" w:rsidRDefault="00ED13D6" w:rsidP="0085768B">
      <w:pPr>
        <w:rPr>
          <w:sz w:val="24"/>
          <w:szCs w:val="24"/>
        </w:rPr>
      </w:pPr>
      <w:r w:rsidRPr="00066962">
        <w:rPr>
          <w:sz w:val="24"/>
          <w:szCs w:val="24"/>
        </w:rPr>
        <w:t>References</w:t>
      </w:r>
    </w:p>
    <w:p w14:paraId="08C53C0A" w14:textId="77777777" w:rsidR="00ED13D6" w:rsidRPr="00E02BE6" w:rsidRDefault="00ED13D6"/>
    <w:p w14:paraId="1F786026" w14:textId="0A90CE7C" w:rsidR="00E75CAD" w:rsidRPr="00095ACA" w:rsidRDefault="00E75CAD" w:rsidP="005C442E">
      <w:pPr>
        <w:pStyle w:val="EndNoteBibliography"/>
        <w:numPr>
          <w:ilvl w:val="0"/>
          <w:numId w:val="17"/>
        </w:numPr>
        <w:spacing w:after="0"/>
        <w:jc w:val="both"/>
      </w:pPr>
      <w:r>
        <w:rPr>
          <w:rFonts w:asciiTheme="majorBidi" w:hAnsiTheme="majorBidi" w:cstheme="majorBidi"/>
          <w:lang w:bidi="fa-IR"/>
        </w:rPr>
        <w:fldChar w:fldCharType="begin"/>
      </w:r>
      <w:r>
        <w:rPr>
          <w:rFonts w:asciiTheme="majorBidi" w:hAnsiTheme="majorBidi" w:cstheme="majorBidi"/>
          <w:lang w:bidi="fa-IR"/>
        </w:rPr>
        <w:instrText xml:space="preserve"> ADDIN EN.REFLIST </w:instrText>
      </w:r>
      <w:r>
        <w:rPr>
          <w:rFonts w:asciiTheme="majorBidi" w:hAnsiTheme="majorBidi" w:cstheme="majorBidi"/>
          <w:lang w:bidi="fa-IR"/>
        </w:rPr>
        <w:fldChar w:fldCharType="separate"/>
      </w:r>
      <w:r w:rsidRPr="00095ACA">
        <w:t xml:space="preserve">Miller, T., et al., </w:t>
      </w:r>
      <w:r w:rsidRPr="00095ACA">
        <w:rPr>
          <w:i/>
        </w:rPr>
        <w:t>Waste Heat Utilization in Marine Energy Systems for Enhanced Efficiency.</w:t>
      </w:r>
      <w:r w:rsidRPr="00095ACA">
        <w:t xml:space="preserve"> Energies, 2024. </w:t>
      </w:r>
      <w:r w:rsidRPr="00095ACA">
        <w:rPr>
          <w:b/>
        </w:rPr>
        <w:t>17</w:t>
      </w:r>
      <w:r w:rsidRPr="00095ACA">
        <w:t>(22): p. 5653.</w:t>
      </w:r>
    </w:p>
    <w:p w14:paraId="680D5FE1" w14:textId="415DC16A" w:rsidR="00E75CAD" w:rsidRPr="00095ACA" w:rsidRDefault="00E75CAD" w:rsidP="005C442E">
      <w:pPr>
        <w:pStyle w:val="EndNoteBibliography"/>
        <w:numPr>
          <w:ilvl w:val="0"/>
          <w:numId w:val="17"/>
        </w:numPr>
        <w:spacing w:after="0"/>
        <w:jc w:val="both"/>
      </w:pPr>
      <w:r w:rsidRPr="00095ACA">
        <w:t xml:space="preserve">Palma-Flores, O., A. Flores-Tlacuahuac, and G. Canseco-Melchorb, </w:t>
      </w:r>
      <w:r w:rsidRPr="00095ACA">
        <w:rPr>
          <w:i/>
        </w:rPr>
        <w:t>Simultaneous molecular and process design for waste heat recovery.</w:t>
      </w:r>
      <w:r w:rsidRPr="00095ACA">
        <w:t xml:space="preserve"> Energy, 2016. </w:t>
      </w:r>
      <w:r w:rsidRPr="00095ACA">
        <w:rPr>
          <w:b/>
        </w:rPr>
        <w:t>99</w:t>
      </w:r>
      <w:r w:rsidRPr="00095ACA">
        <w:t>: p. 32-47.</w:t>
      </w:r>
    </w:p>
    <w:p w14:paraId="64241EEA" w14:textId="795C4130" w:rsidR="00E75CAD" w:rsidRPr="00095ACA" w:rsidRDefault="00E75CAD" w:rsidP="005C442E">
      <w:pPr>
        <w:pStyle w:val="EndNoteBibliography"/>
        <w:numPr>
          <w:ilvl w:val="0"/>
          <w:numId w:val="17"/>
        </w:numPr>
        <w:spacing w:after="0"/>
        <w:jc w:val="both"/>
      </w:pPr>
      <w:r w:rsidRPr="00095ACA">
        <w:t xml:space="preserve">Canseco Melchor, G., O. Palma Flores, and A. Flores Tlacuahuac, </w:t>
      </w:r>
      <w:r w:rsidRPr="00095ACA">
        <w:rPr>
          <w:i/>
        </w:rPr>
        <w:t>Simultaneous molecular and process design for waste heat recovery.</w:t>
      </w:r>
      <w:r w:rsidRPr="00095ACA">
        <w:t xml:space="preserve"> 2016.</w:t>
      </w:r>
    </w:p>
    <w:p w14:paraId="58C2F197" w14:textId="61247CC6" w:rsidR="00E75CAD" w:rsidRPr="00095ACA" w:rsidRDefault="00E75CAD" w:rsidP="005C442E">
      <w:pPr>
        <w:pStyle w:val="EndNoteBibliography"/>
        <w:numPr>
          <w:ilvl w:val="0"/>
          <w:numId w:val="17"/>
        </w:numPr>
        <w:spacing w:after="0"/>
        <w:jc w:val="both"/>
      </w:pPr>
      <w:r w:rsidRPr="00095ACA">
        <w:t xml:space="preserve">Oyekale, J., et al., </w:t>
      </w:r>
      <w:r w:rsidRPr="00095ACA">
        <w:rPr>
          <w:i/>
        </w:rPr>
        <w:t>Impacts of renewable energy resources on effectiveness of grid-integrated systems: Succinct review of current challenges and potential solution strategies.</w:t>
      </w:r>
      <w:r w:rsidRPr="00095ACA">
        <w:t xml:space="preserve"> Energies, 2020. </w:t>
      </w:r>
      <w:r w:rsidRPr="00095ACA">
        <w:rPr>
          <w:b/>
        </w:rPr>
        <w:t>13</w:t>
      </w:r>
      <w:r w:rsidRPr="00095ACA">
        <w:t>(18): p. 4856.</w:t>
      </w:r>
    </w:p>
    <w:p w14:paraId="49BB0DFD" w14:textId="3AE4F635" w:rsidR="00E75CAD" w:rsidRPr="00095ACA" w:rsidRDefault="00E75CAD" w:rsidP="005C442E">
      <w:pPr>
        <w:pStyle w:val="EndNoteBibliography"/>
        <w:numPr>
          <w:ilvl w:val="0"/>
          <w:numId w:val="17"/>
        </w:numPr>
        <w:spacing w:after="0"/>
        <w:jc w:val="both"/>
      </w:pPr>
      <w:r w:rsidRPr="00095ACA">
        <w:t xml:space="preserve">Zhang, S., et al., </w:t>
      </w:r>
      <w:r w:rsidRPr="00095ACA">
        <w:rPr>
          <w:i/>
        </w:rPr>
        <w:t>Thermo-economic assessment and multi-objective optimization of organic Rankine cycle driven by solar energy and waste heat.</w:t>
      </w:r>
      <w:r w:rsidRPr="00095ACA">
        <w:t xml:space="preserve"> Energy, 2024. </w:t>
      </w:r>
      <w:r w:rsidRPr="00095ACA">
        <w:rPr>
          <w:b/>
        </w:rPr>
        <w:t>290</w:t>
      </w:r>
      <w:r w:rsidRPr="00095ACA">
        <w:t>: p. 130223.</w:t>
      </w:r>
    </w:p>
    <w:p w14:paraId="28147E79" w14:textId="0D397B3F" w:rsidR="00E75CAD" w:rsidRDefault="00E75CAD" w:rsidP="005C442E">
      <w:pPr>
        <w:pStyle w:val="EndNoteBibliography"/>
        <w:numPr>
          <w:ilvl w:val="0"/>
          <w:numId w:val="17"/>
        </w:numPr>
        <w:jc w:val="both"/>
      </w:pPr>
      <w:r w:rsidRPr="00095ACA">
        <w:t xml:space="preserve">Damarseckin, S., et al., </w:t>
      </w:r>
      <w:r w:rsidRPr="00095ACA">
        <w:rPr>
          <w:i/>
        </w:rPr>
        <w:t>A comparative review of ORC and R-ORC technologies in terms of energy, exergy, and economic performance.</w:t>
      </w:r>
      <w:r w:rsidRPr="00095ACA">
        <w:t xml:space="preserve"> Heliyon, 2024. </w:t>
      </w:r>
      <w:r w:rsidRPr="00095ACA">
        <w:rPr>
          <w:b/>
        </w:rPr>
        <w:t>10</w:t>
      </w:r>
      <w:r w:rsidRPr="00095ACA">
        <w:t>(23).</w:t>
      </w:r>
    </w:p>
    <w:p w14:paraId="3E1653BB" w14:textId="77777777" w:rsidR="005C442E" w:rsidRPr="005C442E" w:rsidRDefault="005C442E" w:rsidP="005C442E">
      <w:pPr>
        <w:pStyle w:val="ListParagraph"/>
        <w:numPr>
          <w:ilvl w:val="0"/>
          <w:numId w:val="17"/>
        </w:numPr>
        <w:jc w:val="both"/>
        <w:rPr>
          <w:rFonts w:eastAsia="Times New Roman"/>
          <w:sz w:val="24"/>
          <w:szCs w:val="24"/>
        </w:rPr>
      </w:pPr>
      <w:r w:rsidRPr="005C442E">
        <w:rPr>
          <w:rFonts w:eastAsia="Times New Roman"/>
          <w:sz w:val="24"/>
          <w:szCs w:val="24"/>
        </w:rPr>
        <w:t xml:space="preserve">Chung, Yongchul G., Emmanuel Haldoupis, Benjamin J. Bucior, Maciej Haranczyk, Seulchan Lee, Hongda Zhang, Konstantinos D. Vogiatzis et al. "Advances, updates, and analytics for the computation-ready, experimental metal–organic framework database: CoRE MOF 2019." </w:t>
      </w:r>
      <w:r w:rsidRPr="005C442E">
        <w:rPr>
          <w:rFonts w:eastAsia="Times New Roman"/>
          <w:i/>
          <w:iCs/>
          <w:sz w:val="24"/>
          <w:szCs w:val="24"/>
        </w:rPr>
        <w:t>Journal of Chemical &amp; Engineering Data</w:t>
      </w:r>
      <w:r w:rsidRPr="005C442E">
        <w:rPr>
          <w:rFonts w:eastAsia="Times New Roman"/>
          <w:sz w:val="24"/>
          <w:szCs w:val="24"/>
        </w:rPr>
        <w:t xml:space="preserve"> 64, no. 12 (2019): 5985-5998.</w:t>
      </w:r>
    </w:p>
    <w:p w14:paraId="51ED0E47" w14:textId="77777777" w:rsidR="005C442E" w:rsidRDefault="005C442E" w:rsidP="005C442E">
      <w:pPr>
        <w:pStyle w:val="EndNoteBibliography"/>
        <w:numPr>
          <w:ilvl w:val="0"/>
          <w:numId w:val="17"/>
        </w:numPr>
        <w:jc w:val="both"/>
      </w:pPr>
    </w:p>
    <w:p w14:paraId="631542C0" w14:textId="77777777" w:rsidR="005C442E" w:rsidRPr="00095ACA" w:rsidRDefault="005C442E" w:rsidP="005C442E">
      <w:pPr>
        <w:pStyle w:val="EndNoteBibliography"/>
        <w:ind w:left="720" w:hanging="720"/>
        <w:jc w:val="both"/>
      </w:pPr>
    </w:p>
    <w:p w14:paraId="7BEDE43C" w14:textId="3544C073" w:rsidR="00391FD8" w:rsidRPr="00A63BF1" w:rsidRDefault="00E75CAD" w:rsidP="005C442E">
      <w:pPr>
        <w:pStyle w:val="references"/>
        <w:numPr>
          <w:ilvl w:val="0"/>
          <w:numId w:val="0"/>
        </w:numPr>
        <w:spacing w:line="240" w:lineRule="auto"/>
        <w:rPr>
          <w:sz w:val="20"/>
          <w:szCs w:val="20"/>
          <w:lang w:bidi="fa-IR"/>
        </w:rPr>
        <w:sectPr w:rsidR="00391FD8" w:rsidRPr="00A63BF1" w:rsidSect="00414B1B">
          <w:type w:val="continuous"/>
          <w:pgSz w:w="11909" w:h="16834" w:code="9"/>
          <w:pgMar w:top="1080" w:right="734" w:bottom="2434" w:left="734" w:header="720" w:footer="720" w:gutter="0"/>
          <w:cols w:num="2" w:space="360"/>
          <w:rtlGutter/>
          <w:docGrid w:linePitch="360"/>
        </w:sectPr>
      </w:pPr>
      <w:r>
        <w:rPr>
          <w:rFonts w:asciiTheme="majorBidi" w:hAnsiTheme="majorBidi" w:cstheme="majorBidi"/>
          <w:lang w:bidi="fa-IR"/>
        </w:rPr>
        <w:fldChar w:fldCharType="end"/>
      </w:r>
    </w:p>
    <w:p w14:paraId="389430DB" w14:textId="77777777" w:rsidR="00FF047B" w:rsidRDefault="00FF047B" w:rsidP="007C5CD2">
      <w:pPr>
        <w:jc w:val="left"/>
        <w:rPr>
          <w:sz w:val="32"/>
          <w:szCs w:val="32"/>
        </w:rPr>
      </w:pPr>
    </w:p>
    <w:sectPr w:rsidR="00FF047B">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