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t xml:space="preserve">1</w:t>
      </w:r>
      <w:r>
        <w:t xml:space="preserve">, M</w:t>
      </w:r>
      <w:r>
        <w:t xml:space="preserve">2</w:t>
      </w:r>
      <w:r>
        <w:t xml:space="preserve"> </w:t>
      </w:r>
      <w:r>
        <w:t xml:space="preserve">,M</w:t>
      </w:r>
      <w:r>
        <w:t xml:space="preserve">3</w:t>
      </w:r>
      <w:r>
        <w:t xml:space="preserve">,M</w:t>
      </w:r>
      <w:r>
        <w:t xml:space="preserve">4</w:t>
      </w:r>
      <w:r>
        <w:t xml:space="preserve">,M</w:t>
      </w:r>
      <w:r>
        <w:t xml:space="preserve">5</w:t>
      </w:r>
    </w:p>
    <w:p>
      <w:pPr>
        <w:pStyle w:val="BodyText"/>
      </w:pPr>
      <w:r>
        <w:t xml:space="preserve">1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2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3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4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5</w:t>
      </w:r>
      <w:r>
        <w:t xml:space="preserve">Student number : 40,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The Organic Rankine Cycle (ORC) is an</w:t>
      </w:r>
      <w:r>
        <w:t xml:space="preserve"> </w:t>
      </w:r>
      <w:r>
        <w:t xml:space="preserve">effective and innovative approach for converting low-grade heat into</w:t>
      </w:r>
      <w:r>
        <w:t xml:space="preserve"> </w:t>
      </w:r>
      <w:r>
        <w:t xml:space="preserve">electricity by utilizing organic fluids with suitable thermodynamic</w:t>
      </w:r>
      <w:r>
        <w:t xml:space="preserve"> </w:t>
      </w:r>
      <w:r>
        <w:t xml:space="preserve">properties. This study examines how different working fluids affect the</w:t>
      </w:r>
      <w:r>
        <w:t xml:space="preserve"> </w:t>
      </w:r>
      <w:r>
        <w:t xml:space="preserve">efficiency of the ORC across various configurations. Through a</w:t>
      </w:r>
      <w:r>
        <w:t xml:space="preserve"> </w:t>
      </w:r>
      <w:r>
        <w:t xml:space="preserve">combination of experimental testing and simulation, the research</w:t>
      </w:r>
      <w:r>
        <w:t xml:space="preserve"> </w:t>
      </w:r>
      <w:r>
        <w:t xml:space="preserve">identifies five fluids (Cyclopentane, Dichloromethane, n-Pentane, R113,</w:t>
      </w:r>
      <w:r>
        <w:t xml:space="preserve"> </w:t>
      </w:r>
      <w:r>
        <w:t xml:space="preserve">and R141b) as top performers under different operating conditions. The</w:t>
      </w:r>
      <w:r>
        <w:t xml:space="preserve"> </w:t>
      </w:r>
      <w:r>
        <w:t xml:space="preserve">findings clearly show that the choice of working fluid plays a vital</w:t>
      </w:r>
      <w:r>
        <w:t xml:space="preserve"> </w:t>
      </w:r>
      <w:r>
        <w:t xml:space="preserve">role in improving the overall performance of the ORC system.</w:t>
      </w:r>
      <w:r>
        <w:t xml:space="preserve"> </w:t>
      </w:r>
      <w:r>
        <w:t xml:space="preserve">Furthermore, this study highlights the importance of selecting the</w:t>
      </w:r>
      <w:r>
        <w:t xml:space="preserve"> </w:t>
      </w:r>
      <w:r>
        <w:t xml:space="preserve">appropriate fluid to maximize energy recovery and enhance system</w:t>
      </w:r>
      <w:r>
        <w:t xml:space="preserve"> </w:t>
      </w:r>
      <w:r>
        <w:t xml:space="preserve">reliability. The flexibility of ORC technology is emphasized,</w:t>
      </w:r>
      <w:r>
        <w:t xml:space="preserve"> </w:t>
      </w:r>
      <w:r>
        <w:t xml:space="preserve">demonstrating its potential as an efficient and adaptable solution for</w:t>
      </w:r>
      <w:r>
        <w:t xml:space="preserve"> </w:t>
      </w:r>
      <w:r>
        <w:t xml:space="preserve">reducing energy waste and optimizing resource utilization in industrial</w:t>
      </w:r>
      <w:r>
        <w:t xml:space="preserve"> </w:t>
      </w:r>
      <w:r>
        <w:t xml:space="preserve">applications. Ultimately, the results underline the significant benefits</w:t>
      </w:r>
      <w:r>
        <w:t xml:space="preserve"> </w:t>
      </w:r>
      <w:r>
        <w:t xml:space="preserve">of ORC in increasing energy efficiency and promoting sustainable energy</w:t>
      </w:r>
      <w:r>
        <w:t xml:space="preserve"> </w:t>
      </w:r>
      <w:r>
        <w:t xml:space="preserve">practices, paving the way for broader adoption of clean and</w:t>
      </w:r>
      <w:r>
        <w:t xml:space="preserve"> </w:t>
      </w:r>
      <w:r>
        <w:t xml:space="preserve">environmentally friendly power generation technologies.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</w:t>
      </w:r>
    </w:p>
    <w:p>
      <w:pPr>
        <w:pStyle w:val="FirstParagraph"/>
      </w:pPr>
      <w:r>
        <w:t xml:space="preserve">Growing concerns over energy security and environmental sustainability</w:t>
      </w:r>
      <w:r>
        <w:t xml:space="preserve"> </w:t>
      </w:r>
      <w:r>
        <w:t xml:space="preserve">underscore the need for efficient utilization of waste-heat streams in</w:t>
      </w:r>
      <w:r>
        <w:t xml:space="preserve"> </w:t>
      </w:r>
      <w:r>
        <w:t xml:space="preserve">industrial processes. [1]A significant portion of the input energy in</w:t>
      </w:r>
      <w:r>
        <w:t xml:space="preserve"> </w:t>
      </w:r>
      <w:r>
        <w:t xml:space="preserve">production systems is dissipated to the environment as unused thermal</w:t>
      </w:r>
      <w:r>
        <w:t xml:space="preserve"> </w:t>
      </w:r>
      <w:r>
        <w:t xml:space="preserve">energy, which not only leads to substantial energy losses but also</w:t>
      </w:r>
      <w:r>
        <w:t xml:space="preserve"> </w:t>
      </w:r>
      <w:r>
        <w:t xml:space="preserve">contributes to greenhouse-gas emissions. Among emerging waste-heat</w:t>
      </w:r>
      <w:r>
        <w:t xml:space="preserve"> </w:t>
      </w:r>
      <w:r>
        <w:t xml:space="preserve">recovery technologies, the Organic Rankine Cycle (ORC) has attracted</w:t>
      </w:r>
      <w:r>
        <w:t xml:space="preserve"> </w:t>
      </w:r>
      <w:r>
        <w:t xml:space="preserve">considerable attention due to its ability to operate with low- to</w:t>
      </w:r>
      <w:r>
        <w:t xml:space="preserve"> </w:t>
      </w:r>
      <w:r>
        <w:t xml:space="preserve">medium-temperature heat sources and its flexibility in employing organic</w:t>
      </w:r>
      <w:r>
        <w:t xml:space="preserve"> </w:t>
      </w:r>
      <w:r>
        <w:t xml:space="preserve">working fluids with low boiling points. These advantages enable ORCs to</w:t>
      </w:r>
      <w:r>
        <w:t xml:space="preserve"> </w:t>
      </w:r>
      <w:r>
        <w:t xml:space="preserve">be deployed across a wide range of applications, including geothermal,</w:t>
      </w:r>
      <w:r>
        <w:t xml:space="preserve"> </w:t>
      </w:r>
      <w:r>
        <w:t xml:space="preserve">solar, biomass, and industrial waste-heat recovery.</w:t>
      </w:r>
    </w:p>
    <w:p>
      <w:pPr>
        <w:pStyle w:val="BodyText"/>
      </w:pPr>
      <w:r>
        <w:t xml:space="preserve">In recent years, research in this field has evolved from purely</w:t>
      </w:r>
      <w:r>
        <w:t xml:space="preserve"> </w:t>
      </w:r>
      <w:r>
        <w:t xml:space="preserve">thermodynamic analyses toward multi-objective optimization and hybrid</w:t>
      </w:r>
      <w:r>
        <w:t xml:space="preserve"> </w:t>
      </w:r>
      <w:r>
        <w:t xml:space="preserve">approaches. For instance, Palma-Flores et al. (2015; 2016) proposed</w:t>
      </w:r>
      <w:r>
        <w:t xml:space="preserve"> </w:t>
      </w:r>
      <w:r>
        <w:t xml:space="preserve">pioneering frameworks for assessing ORC working fluids by integrating</w:t>
      </w:r>
      <w:r>
        <w:t xml:space="preserve"> </w:t>
      </w:r>
      <w:r>
        <w:t xml:space="preserve">thermodynamic and economic perspectives, highlighting the importance of</w:t>
      </w:r>
      <w:r>
        <w:t xml:space="preserve"> </w:t>
      </w:r>
      <w:r>
        <w:t xml:space="preserve">coupling technical and cost evaluations[2, 3]. More recent studies</w:t>
      </w:r>
      <w:r>
        <w:t xml:space="preserve"> </w:t>
      </w:r>
      <w:r>
        <w:t xml:space="preserve">emphasize performance enhancement and environmental benefits: Oyekale et</w:t>
      </w:r>
      <w:r>
        <w:t xml:space="preserve"> </w:t>
      </w:r>
      <w:r>
        <w:t xml:space="preserve">al. (2020) demonstrated that employing siloxane mixtures in</w:t>
      </w:r>
      <w:r>
        <w:t xml:space="preserve"> </w:t>
      </w:r>
      <w:r>
        <w:t xml:space="preserve">solar–biomass ORC systems can significantly improve exergy efficiency</w:t>
      </w:r>
      <w:r>
        <w:t xml:space="preserve"> </w:t>
      </w:r>
      <w:r>
        <w:t xml:space="preserve">and reduce CO₂ emissions[4]. Similarly, Wang et al. (2024) developed a</w:t>
      </w:r>
      <w:r>
        <w:t xml:space="preserve"> </w:t>
      </w:r>
      <w:r>
        <w:t xml:space="preserve">multi-objective optimization framework that simultaneously accounts for</w:t>
      </w:r>
      <w:r>
        <w:t xml:space="preserve"> </w:t>
      </w:r>
      <w:r>
        <w:t xml:space="preserve">capital cost, thermal efficiency, and environmental performance, thereby</w:t>
      </w:r>
      <w:r>
        <w:t xml:space="preserve"> </w:t>
      </w:r>
      <w:r>
        <w:t xml:space="preserve">providing a roadmap for sustainable ORC design[5]. Furthermore, the</w:t>
      </w:r>
      <w:r>
        <w:t xml:space="preserve"> </w:t>
      </w:r>
      <w:r>
        <w:t xml:space="preserve">recent review by Damarseckin (2024) suggests that the future of ORCs</w:t>
      </w:r>
      <w:r>
        <w:t xml:space="preserve"> </w:t>
      </w:r>
      <w:r>
        <w:t xml:space="preserve">lies in their integration with smart-energy networks and renewable-based</w:t>
      </w:r>
      <w:r>
        <w:t xml:space="preserve"> </w:t>
      </w:r>
      <w:r>
        <w:t xml:space="preserve">hybrid systems[6].</w:t>
      </w:r>
    </w:p>
    <w:p>
      <w:pPr>
        <w:pStyle w:val="BodyText"/>
      </w:pPr>
      <w:r>
        <w:t xml:space="preserve">Despite these advancements, several critical research gaps remain.</w:t>
      </w:r>
      <w:r>
        <w:t xml:space="preserve"> </w:t>
      </w:r>
      <w:r>
        <w:t xml:space="preserve">First, most investigations have focused on conceptual design and</w:t>
      </w:r>
      <w:r>
        <w:t xml:space="preserve"> </w:t>
      </w:r>
      <w:r>
        <w:t xml:space="preserve">thermodynamic modeling, whereas industrial-scale operational evaluation</w:t>
      </w:r>
      <w:r>
        <w:t xml:space="preserve"> </w:t>
      </w:r>
      <w:r>
        <w:t xml:space="preserve">has been underexplored. Second, many studies consider only a single</w:t>
      </w:r>
      <w:r>
        <w:t xml:space="preserve"> </w:t>
      </w:r>
      <w:r>
        <w:t xml:space="preserve">configuration, limiting systematic comparisons across different ORC</w:t>
      </w:r>
      <w:r>
        <w:t xml:space="preserve"> </w:t>
      </w:r>
      <w:r>
        <w:t xml:space="preserve">layouts. Third, there is a lack of integration between equation-based</w:t>
      </w:r>
      <w:r>
        <w:t xml:space="preserve"> </w:t>
      </w:r>
      <w:r>
        <w:t xml:space="preserve">mathematical optimization and process-simulation validation, which is</w:t>
      </w:r>
      <w:r>
        <w:t xml:space="preserve"> </w:t>
      </w:r>
      <w:r>
        <w:t xml:space="preserve">essential to bridge the gap between theory and practical deployment.</w:t>
      </w:r>
    </w:p>
    <w:p>
      <w:pPr>
        <w:pStyle w:val="BodyText"/>
      </w:pPr>
      <w:r>
        <w:t xml:space="preserve">Motivated by these gaps, the present study addresses the design and</w:t>
      </w:r>
      <w:r>
        <w:t xml:space="preserve"> </w:t>
      </w:r>
      <w:r>
        <w:t xml:space="preserve">optimization of two ORC configurations—a basic cycle and a recuperated</w:t>
      </w:r>
      <w:r>
        <w:t xml:space="preserve"> </w:t>
      </w:r>
      <w:r>
        <w:t xml:space="preserve">cycle—by employing GAMS for mathematical optimization and Aspen HYSYS</w:t>
      </w:r>
      <w:r>
        <w:t xml:space="preserve"> </w:t>
      </w:r>
      <w:r>
        <w:t xml:space="preserve">for process validation. This integrated approach not only enhances</w:t>
      </w:r>
      <w:r>
        <w:t xml:space="preserve"> </w:t>
      </w:r>
      <w:r>
        <w:t xml:space="preserve">understanding of the interaction between working-fluid selection,</w:t>
      </w:r>
      <w:r>
        <w:t xml:space="preserve"> </w:t>
      </w:r>
      <w:r>
        <w:t xml:space="preserve">operating conditions, and cycle efficiency, but also provides a</w:t>
      </w:r>
      <w:r>
        <w:t xml:space="preserve"> </w:t>
      </w:r>
      <w:r>
        <w:t xml:space="preserve">practical roadmap for the industrial implementation of sustainable ORC</w:t>
      </w:r>
      <w:r>
        <w:t xml:space="preserve"> </w:t>
      </w:r>
      <w:r>
        <w:t xml:space="preserve">systems.</w:t>
      </w:r>
    </w:p>
    <w:p>
      <w:pPr>
        <w:pStyle w:val="BodyText"/>
      </w:pPr>
    </w:p>
    <w:p>
      <w:pPr>
        <w:pStyle w:val="BodyText"/>
      </w:pPr>
      <w:r>
        <w:t xml:space="preserve">Figure 1. Rankine cycle for Config. A [4]</w:t>
      </w:r>
    </w:p>
    <w:p>
      <w:pPr>
        <w:pStyle w:val="BodyText"/>
      </w:pPr>
      <w:r>
        <w:t xml:space="preserve">In the following, the thermodynamic modeling of the ORC (Organic Rankine</w:t>
      </w:r>
      <w:r>
        <w:t xml:space="preserve"> </w:t>
      </w:r>
      <w:r>
        <w:t xml:space="preserve">Cycle) is examined. To model this cycle using various assumptions, three</w:t>
      </w:r>
      <w:r>
        <w:t xml:space="preserve"> </w:t>
      </w:r>
      <w:r>
        <w:t xml:space="preserve">different approaches for the thermodynamic simulation of the cycle</w:t>
      </w:r>
      <w:r>
        <w:t xml:space="preserve"> </w:t>
      </w:r>
      <w:r>
        <w:t xml:space="preserve">showen in Figure 1.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Problem statement</w:t>
      </w:r>
    </w:p>
    <w:p>
      <w:pPr>
        <w:pStyle w:val="BlockText"/>
      </w:pPr>
      <w:r>
        <w:t xml:space="preserve">Our goal is to convert low- to medium-grade</w:t>
      </w:r>
      <w:r>
        <w:t xml:space="preserve"> </w:t>
      </w:r>
      <w:r>
        <w:t xml:space="preserve">waste heat into electricity using an organic Rankine cycle (ORC) under</w:t>
      </w:r>
      <w:r>
        <w:t xml:space="preserve"> </w:t>
      </w:r>
      <w:r>
        <w:t xml:space="preserve">realistic industrial constraints and formulate the optimization in an</w:t>
      </w:r>
      <w:r>
        <w:t xml:space="preserve"> </w:t>
      </w:r>
      <w:r>
        <w:t xml:space="preserve">equation-oriented (EO) manner suitable for exact solutions.</w:t>
      </w:r>
    </w:p>
    <w:p>
      <w:pPr>
        <w:pStyle w:val="BlockText"/>
      </w:pPr>
      <w:r>
        <w:t xml:space="preserve">A single hot-water stream is the heat source.</w:t>
      </w:r>
      <w:r>
        <w:t xml:space="preserve"> </w:t>
      </w:r>
      <w:r>
        <w:t xml:space="preserve">The sink is an air-cooled condenser. Two ORC configurations are</w:t>
      </w:r>
      <w:r>
        <w:t xml:space="preserve"> </w:t>
      </w:r>
      <w:r>
        <w:t xml:space="preserve">analyzed under identical boundary conditions:</w:t>
      </w:r>
    </w:p>
    <w:p>
      <w:pPr>
        <w:pStyle w:val="BlockText"/>
      </w:pPr>
      <w:r>
        <w:t xml:space="preserve">• Configuration A (simple cycle): evaporator → turbine → condenser →</w:t>
      </w:r>
      <w:r>
        <w:t xml:space="preserve"> </w:t>
      </w:r>
      <w:r>
        <w:t xml:space="preserve">pump</w:t>
      </w:r>
    </w:p>
    <w:p>
      <w:pPr>
        <w:pStyle w:val="BlockText"/>
      </w:pPr>
      <w:r>
        <w:t xml:space="preserve">• Configuration B (recuperated cycle): the simple cycle augmented with</w:t>
      </w:r>
      <w:r>
        <w:t xml:space="preserve"> </w:t>
      </w:r>
      <w:r>
        <w:t xml:space="preserve">an internal heat exchanger (recuperator) that preheats the working</w:t>
      </w:r>
      <w:r>
        <w:t xml:space="preserve"> </w:t>
      </w:r>
      <w:r>
        <w:t xml:space="preserve">fluid using turbine exhaust</w:t>
      </w:r>
    </w:p>
    <w:p>
      <w:pPr>
        <w:pStyle w:val="BlockText"/>
      </w:pPr>
      <w:r>
        <w:t xml:space="preserve">We consider a set of at least five pure working</w:t>
      </w:r>
      <w:r>
        <w:t xml:space="preserve"> </w:t>
      </w:r>
      <w:r>
        <w:t xml:space="preserve">fluids drawn from the recommended list and literature. Thermophysical</w:t>
      </w:r>
      <w:r>
        <w:t xml:space="preserve"> </w:t>
      </w:r>
      <w:r>
        <w:t xml:space="preserve">constants (Tc, Pc, omega, MW) are treated as known for each candidate.</w:t>
      </w:r>
      <w:r>
        <w:t xml:space="preserve"> </w:t>
      </w:r>
      <w:r>
        <w:t xml:space="preserve">Heat‑capacity treatment follows the model: Cp(T) polynomials if</w:t>
      </w:r>
      <w:r>
        <w:t xml:space="preserve"> </w:t>
      </w:r>
      <w:r>
        <w:t xml:space="preserve">available, otherwise a constant cp_avg. The optimal fluid is selected</w:t>
      </w:r>
      <w:r>
        <w:t xml:space="preserve"> </w:t>
      </w:r>
      <w:r>
        <w:t xml:space="preserve">within the optimization (or via a screen–then–solve protocol) while</w:t>
      </w:r>
      <w:r>
        <w:t xml:space="preserve"> </w:t>
      </w:r>
      <w:r>
        <w:t xml:space="preserve">ensuring that only one pure fluid is active in each run.</w:t>
      </w:r>
    </w:p>
    <w:p>
      <w:pPr>
        <w:pStyle w:val="BlockText"/>
      </w:pPr>
      <w:r>
        <w:t xml:space="preserve">Thermophysical modeling</w:t>
      </w:r>
      <w:r>
        <w:rPr>
          <w:rtl/>
        </w:rPr>
        <w:t xml:space="preserve">:</w:t>
      </w:r>
      <w:r>
        <w:t xml:space="preserve"> </w:t>
      </w:r>
      <w:r>
        <w:t xml:space="preserve">Property calculations</w:t>
      </w:r>
      <w:r>
        <w:t xml:space="preserve"> </w:t>
      </w:r>
      <w:r>
        <w:t xml:space="preserve">use the Peng–Robinson (PR) equation of state. A stable cubic‑root</w:t>
      </w:r>
      <w:r>
        <w:t xml:space="preserve"> </w:t>
      </w:r>
      <w:r>
        <w:t xml:space="preserve">selection consistent with liquid/vapor phases (Kamath‑compatible</w:t>
      </w:r>
      <w:r>
        <w:t xml:space="preserve"> </w:t>
      </w:r>
      <w:r>
        <w:t xml:space="preserve">handling) provides compressibility Z and departure functions.</w:t>
      </w:r>
      <w:r>
        <w:t xml:space="preserve"> </w:t>
      </w:r>
      <w:r>
        <w:t xml:space="preserve">Ideal‑gas enthalpy uses Cp(T) polynomials if present, otherwise a</w:t>
      </w:r>
      <w:r>
        <w:t xml:space="preserve"> </w:t>
      </w:r>
      <w:r>
        <w:t xml:space="preserve">constant *C</w:t>
      </w:r>
      <w:r>
        <w:rPr>
          <w:b/>
          <w:bCs/>
        </w:rPr>
        <w:t xml:space="preserve">p</w:t>
      </w:r>
      <w:r>
        <w:rPr>
          <w:b/>
          <w:bCs/>
        </w:rPr>
        <w:t xml:space="preserve">a</w:t>
      </w:r>
      <w:r>
        <w:t xml:space="preserve">v**g*</w:t>
      </w:r>
      <w:r>
        <w:t xml:space="preserve">.</w:t>
      </w:r>
    </w:p>
    <w:p>
      <w:pPr>
        <w:pStyle w:val="BlockText"/>
      </w:pPr>
      <w:r>
        <w:t xml:space="preserve">It is assumed that the outlet flow from the evaporator is the lowest</w:t>
      </w:r>
      <w:r>
        <w:t xml:space="preserve"> </w:t>
      </w:r>
      <w:r>
        <w:t xml:space="preserve">possible value considering the outlet water inlet outside 165°C and</w:t>
      </w:r>
      <w:r>
        <w:t xml:space="preserve"> </w:t>
      </w:r>
      <w:r>
        <w:t xml:space="preserve">since stream 1 is the inlet to the turbine, we assume all the flow is</w:t>
      </w:r>
      <w:r>
        <w:t xml:space="preserve"> </w:t>
      </w:r>
      <w:r>
        <w:t xml:space="preserve">vapor. Stream 2 is assumed to be the turbine outlet once and also the</w:t>
      </w:r>
      <w:r>
        <w:t xml:space="preserve"> </w:t>
      </w:r>
      <w:r>
        <w:t xml:space="preserve">water pressure of stream 3 is assumed to be completely liquid with</w:t>
      </w:r>
      <w:r>
        <w:t xml:space="preserve"> </w:t>
      </w:r>
      <w:r>
        <w:t xml:space="preserve">respect to the material point so that the inlet to the pump is</w:t>
      </w:r>
      <w:r>
        <w:t xml:space="preserve"> </w:t>
      </w:r>
      <w:r>
        <w:t xml:space="preserve">completely liquid. The pressures of streams (1,4) and (2,3) are equal</w:t>
      </w:r>
      <w:r>
        <w:t xml:space="preserve"> </w:t>
      </w:r>
      <w:r>
        <w:t xml:space="preserve">considering that we have pressure drops in the heat exchangers.</w:t>
      </w:r>
    </w:p>
    <w:p>
      <w:pPr>
        <w:pStyle w:val="BlockText"/>
      </w:pPr>
      <w:r>
        <w:t xml:space="preserve">For fair comparisons against flowsheet simulations, matched boundary</w:t>
      </w:r>
      <w:r>
        <w:t xml:space="preserve"> </w:t>
      </w:r>
      <w:r>
        <w:t xml:space="preserve">conditions (source/sink), identical fluid identity and property</w:t>
      </w:r>
      <w:r>
        <w:t xml:space="preserve"> </w:t>
      </w:r>
      <w:r>
        <w:t xml:space="preserve">package, and consistent unit systems are required. Differences in</w:t>
      </w:r>
      <w:r>
        <w:t xml:space="preserve"> </w:t>
      </w:r>
      <w:r>
        <w:t xml:space="preserve">fluid choice, bounds, or property methods can materially change</w:t>
      </w:r>
      <w:r>
        <w:t xml:space="preserve"> </w:t>
      </w:r>
      <w:r>
        <w:rPr>
          <w:i/>
          <w:iCs/>
        </w:rPr>
        <w:t xml:space="preserve">W</w:t>
      </w:r>
      <w:r>
        <w:t xml:space="preserve">*t</w:t>
      </w:r>
      <w:r>
        <w:rPr>
          <w:b/>
          <w:bCs/>
        </w:rPr>
        <w:t xml:space="preserve">u</w:t>
      </w:r>
      <w:r>
        <w:t xml:space="preserve">r</w:t>
      </w:r>
      <w:r>
        <w:rPr>
          <w:b/>
          <w:bCs/>
        </w:rPr>
        <w:t xml:space="preserve">b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and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W</w:t>
      </w:r>
      <w:r>
        <w:rPr>
          <w:b/>
          <w:bCs/>
        </w:rPr>
        <w:t xml:space="preserve">n</w:t>
      </w:r>
      <w:r>
        <w:t xml:space="preserve">e**t*</w:t>
      </w:r>
      <w:r>
        <w:t xml:space="preserve">.</w:t>
      </w:r>
    </w:p>
    <w:p>
      <w:pPr>
        <w:pStyle w:val="BlockText"/>
      </w:pPr>
      <w:r>
        <w:t xml:space="preserve">In this approach, five components -Cyclopentane, Dichloromethane,</w:t>
      </w:r>
      <w:r>
        <w:t xml:space="preserve"> </w:t>
      </w:r>
      <w:r>
        <w:t xml:space="preserve">n-Pentane, R113, and R141b- are selected.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Problem formulation</w:t>
      </w:r>
    </w:p>
    <w:p>
      <w:pPr>
        <w:pStyle w:val="FirstParagraph"/>
      </w:pPr>
      <w:r>
        <w:t xml:space="preserve">The given specifications are listed in Table 1.</w:t>
      </w:r>
    </w:p>
    <w:p>
      <w:pPr>
        <w:pStyle w:val="BodyText"/>
      </w:pPr>
      <w:r>
        <w:t xml:space="preserve">Table 1. Source/sink and equipment data (nominal)</w:t>
      </w:r>
    </w:p>
    <w:p>
      <w:pPr>
        <w:pStyle w:val="BodyText"/>
      </w:pPr>
      <w:r>
        <w:t xml:space="preserve">Item</w:t>
      </w:r>
    </w:p>
    <w:p>
      <w:pPr>
        <w:pStyle w:val="BodyText"/>
      </w:pPr>
      <w:r>
        <w:t xml:space="preserve">Value</w:t>
      </w:r>
    </w:p>
    <w:p>
      <w:pPr>
        <w:pStyle w:val="BodyText"/>
      </w:pPr>
      <w:r>
        <w:t xml:space="preserve">Units</w:t>
      </w:r>
    </w:p>
    <w:p>
      <w:pPr>
        <w:pStyle w:val="BodyText"/>
      </w:pPr>
      <w:r>
        <w:t xml:space="preserve">Hot-water pressure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bara</w:t>
      </w:r>
    </w:p>
    <w:p>
      <w:pPr>
        <w:pStyle w:val="BodyText"/>
      </w:pPr>
      <w:r>
        <w:t xml:space="preserve">Hot-water inlet temperature</w:t>
      </w:r>
    </w:p>
    <w:p>
      <w:pPr>
        <w:pStyle w:val="BodyText"/>
      </w:pPr>
      <w:r>
        <w:t xml:space="preserve">443.15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Hot-water outlet temperature</w:t>
      </w:r>
    </w:p>
    <w:p>
      <w:pPr>
        <w:pStyle w:val="BodyText"/>
      </w:pPr>
      <w:r>
        <w:t xml:space="preserve">343.15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Hot-water mass flow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kg/s</w:t>
      </w:r>
    </w:p>
    <w:p>
      <w:pPr>
        <w:pStyle w:val="BodyText"/>
      </w:pPr>
      <w:r>
        <w:t xml:space="preserve">Cooling air inlet temperature</w:t>
      </w:r>
    </w:p>
    <w:p>
      <w:pPr>
        <w:pStyle w:val="BodyText"/>
      </w:pPr>
      <w:r>
        <w:t xml:space="preserve">298.15</w:t>
      </w:r>
    </w:p>
    <w:p>
      <w:pPr>
        <w:pStyle w:val="BodyText"/>
      </w:pPr>
      <w:r>
        <w:t xml:space="preserve">K (25 °C)</w:t>
      </w:r>
    </w:p>
    <w:p>
      <w:pPr>
        <w:pStyle w:val="BodyText"/>
      </w:pPr>
      <w:r>
        <w:t xml:space="preserve">Water heat capacity</w:t>
      </w:r>
    </w:p>
    <w:p>
      <w:pPr>
        <w:pStyle w:val="BodyText"/>
      </w:pPr>
      <w:r>
        <w:t xml:space="preserve">4.675</w:t>
      </w:r>
    </w:p>
    <w:p>
      <w:pPr>
        <w:pStyle w:val="BodyText"/>
      </w:pPr>
      <w:r>
        <w:t xml:space="preserve">kJ/(kg*K)</w:t>
      </w:r>
    </w:p>
    <w:p>
      <w:pPr>
        <w:pStyle w:val="BodyText"/>
      </w:pPr>
      <w:r>
        <w:t xml:space="preserve">Condenser approach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Evaporator pinch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Pump isentropic efficiency</w:t>
      </w:r>
    </w:p>
    <w:p>
      <w:pPr>
        <w:pStyle w:val="BodyText"/>
      </w:pPr>
      <w:r>
        <w:t xml:space="preserve">0.75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Turbine isentropic efficiency</w:t>
      </w:r>
    </w:p>
    <w:p>
      <w:pPr>
        <w:pStyle w:val="BodyText"/>
      </w:pPr>
      <w:r>
        <w:t xml:space="preserve">0.80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Generator efficiency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To determine the enthalpy of each stream, Equation 1 is used. The actual</w:t>
      </w:r>
      <w:r>
        <w:t xml:space="preserve"> </w:t>
      </w:r>
      <w:r>
        <w:t xml:space="preserve">enthalpy of each stream includes three to four parameters: the ideal gas</w:t>
      </w:r>
      <w:r>
        <w:t xml:space="preserve"> </w:t>
      </w:r>
      <w:r>
        <w:t xml:space="preserve">enthalpy, the residual enthalpy indicating the deviation from the ideal</w:t>
      </w:r>
      <w:r>
        <w:t xml:space="preserve"> </w:t>
      </w:r>
      <w:r>
        <w:t xml:space="preserve">state, the formation enthalpy which is a constant value for the</w:t>
      </w:r>
      <w:r>
        <w:t xml:space="preserve"> </w:t>
      </w:r>
      <w:r>
        <w:t xml:space="preserve">substance, and if the substance is in the liquid phase, the enthalpy of</w:t>
      </w:r>
      <w:r>
        <w:t xml:space="preserve"> </w:t>
      </w:r>
      <w:r>
        <w:t xml:space="preserve">vaporization should be added to the actual enthalpy.</w:t>
      </w:r>
    </w:p>
    <w:p>
      <w:pPr>
        <w:pStyle w:val="BodyText"/>
      </w:pPr>
      <w:r>
        <w:rPr>
          <w:i/>
          <w:iCs/>
        </w:rPr>
        <w:t xml:space="preserve">H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l</w:t>
      </w:r>
      <w:r>
        <w:rPr>
          <w:b/>
          <w:bCs/>
          <w:i/>
          <w:i/>
          <w:iCs/>
          <w:iCs/>
        </w:rPr>
        <w:t xml:space="preserve"> = 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i</w:t>
      </w:r>
      <w:r>
        <w:rPr>
          <w:i/>
          <w:iCs/>
        </w:rPr>
        <w:t xml:space="preserve">g</w:t>
      </w:r>
      <w:r>
        <w:t xml:space="preserve"> + </w:t>
      </w:r>
      <w:r>
        <w:rPr>
          <w:i/>
          <w:iCs/>
        </w:rPr>
        <w:t xml:space="preserve">H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s</w:t>
      </w:r>
      <w:r>
        <w:t xml:space="preserve"> + </w:t>
      </w:r>
      <w:r>
        <w:rPr>
          <w:i/>
          <w:iCs/>
        </w:rPr>
        <w:t xml:space="preserve">H</w:t>
      </w: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o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m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      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q</w:t>
      </w:r>
      <w:r>
        <w:t xml:space="preserve">.1</w:t>
      </w:r>
    </w:p>
    <w:p>
      <w:pPr>
        <w:pStyle w:val="BodyText"/>
      </w:pPr>
      <w:r>
        <w:t xml:space="preserve">If the stream is two-phase, Equation 2 must be used, which calculates</w:t>
      </w:r>
      <w:r>
        <w:t xml:space="preserve"> </w:t>
      </w:r>
      <w:r>
        <w:t xml:space="preserve">the enthalpy for saturated vapor and liquid, and then the vapor fraction</w:t>
      </w:r>
      <w:r>
        <w:t xml:space="preserve"> </w:t>
      </w:r>
      <w:r>
        <w:t xml:space="preserve">of the stream is inserted into the equation to obtain the actual</w:t>
      </w:r>
      <w:r>
        <w:t xml:space="preserve"> </w:t>
      </w:r>
      <w:r>
        <w:t xml:space="preserve">enthalpy.</w:t>
      </w:r>
    </w:p>
    <w:p>
      <w:pPr>
        <w:pStyle w:val="BodyText"/>
      </w:pPr>
      <w:r>
        <w:rPr>
          <w:i/>
          <w:iCs/>
        </w:rPr>
        <w:t xml:space="preserve">H</w:t>
      </w:r>
      <w:r>
        <w:t xml:space="preserve"> = </w:t>
      </w:r>
      <w:r>
        <w:rPr>
          <w:i/>
          <w:iCs/>
        </w:rPr>
        <w:t xml:space="preserve">v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p</w:t>
      </w:r>
      <w:r>
        <w:t xml:space="preserve">. </w:t>
      </w: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r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c</w:t>
      </w:r>
      <w:r>
        <w:rPr>
          <w:b/>
          <w:bCs/>
          <w:i/>
          <w:i/>
          <w:iCs/>
          <w:iCs/>
        </w:rPr>
        <w:t xml:space="preserve"> * </w:t>
      </w:r>
      <w:r>
        <w:rPr>
          <w:b/>
          <w:bCs/>
          <w:i/>
          <w:iCs/>
        </w:rPr>
        <w:t xml:space="preserve">H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.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 + (1 − </w:t>
      </w:r>
      <w:r>
        <w:rPr>
          <w:b/>
          <w:bCs/>
          <w:i/>
          <w:iCs/>
        </w:rPr>
        <w:t xml:space="preserve">v</w:t>
      </w:r>
      <w:r>
        <w:rPr>
          <w:i/>
          <w:iCs/>
        </w:rPr>
        <w:t xml:space="preserve">a</w:t>
      </w:r>
      <w:r>
        <w:rPr>
          <w:b/>
          <w:bCs/>
          <w:i/>
          <w:iCs/>
        </w:rPr>
        <w:t xml:space="preserve">p</w:t>
      </w:r>
      <w:r>
        <w:rPr>
          <w:b/>
          <w:bCs/>
          <w:i/>
          <w:i/>
          <w:iCs/>
          <w:iCs/>
        </w:rPr>
        <w:t xml:space="preserve">. </w:t>
      </w:r>
      <w:r>
        <w:rPr>
          <w:b/>
          <w:bCs/>
          <w:i/>
          <w:iCs/>
        </w:rPr>
        <w:t xml:space="preserve">f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c</w:t>
      </w:r>
      <w:r>
        <w:t xml:space="preserve">) * </w:t>
      </w:r>
      <w:r>
        <w:rPr>
          <w:i/>
          <w:iCs/>
        </w:rPr>
        <w:t xml:space="preserve">H</w:t>
      </w:r>
      <w:r>
        <w:rPr>
          <w:i/>
          <w:iCs/>
        </w:rPr>
        <w:t xml:space="preserve">S</w:t>
      </w:r>
      <w:r>
        <w:rPr>
          <w:b/>
          <w:bCs/>
          <w:i/>
          <w:iCs/>
        </w:rPr>
        <w:t xml:space="preserve">a</w:t>
      </w:r>
      <w:r>
        <w:rPr>
          <w:i/>
          <w:iCs/>
        </w:rPr>
        <w:t xml:space="preserve">t</w:t>
      </w:r>
      <w:r>
        <w:t xml:space="preserve">.</w:t>
      </w:r>
      <w:r>
        <w:rPr>
          <w:i/>
          <w:iCs/>
        </w:rPr>
        <w:t xml:space="preserve">l</w:t>
      </w:r>
      <w:r>
        <w:rPr>
          <w:b/>
          <w:bCs/>
          <w:i/>
          <w:iCs/>
        </w:rPr>
        <w:t xml:space="preserve">i</w:t>
      </w:r>
      <w:r>
        <w:rPr>
          <w:i/>
          <w:iCs/>
        </w:rPr>
        <w:t xml:space="preserve">q</w:t>
      </w:r>
      <w:r>
        <w:t xml:space="preserve">  *e**q*.2</w:t>
      </w:r>
    </w:p>
    <w:p>
      <w:pPr>
        <w:pStyle w:val="BodyText"/>
      </w:pPr>
      <w:r>
        <w:t xml:space="preserve">To calculate the ideal gas enthalpy of a stream, Equation 3 is used.</w:t>
      </w:r>
      <w:r>
        <w:t xml:space="preserve"> </w:t>
      </w:r>
      <w:r>
        <w:t xml:space="preserve">Coefficients a to f are read from the Aspen HYSYS software, and by</w:t>
      </w:r>
      <w:r>
        <w:t xml:space="preserve"> </w:t>
      </w:r>
      <w:r>
        <w:t xml:space="preserve">inputting the temperature in Kelvin into Equation 3, the ideal gas</w:t>
      </w:r>
      <w:r>
        <w:t xml:space="preserve"> </w:t>
      </w:r>
      <w:r>
        <w:t xml:space="preserve">enthalpy (Kj / Kg) is obtained.</w:t>
      </w:r>
    </w:p>
    <w:p>
      <w:pPr>
        <w:pStyle w:val="BodyText"/>
      </w:pPr>
      <w:r>
        <w:rPr>
          <w:i/>
          <w:iCs/>
        </w:rPr>
        <w:t xml:space="preserve">H</w:t>
      </w:r>
      <w:r>
        <w:rPr>
          <w:i/>
          <w:iCs/>
        </w:rPr>
        <w:t xml:space="preserve">i</w:t>
      </w:r>
      <w:r>
        <w:rPr>
          <w:b/>
          <w:bCs/>
          <w:i/>
          <w:iCs/>
        </w:rPr>
        <w:t xml:space="preserve">g</w:t>
      </w:r>
      <w:r>
        <w:rPr>
          <w:b/>
          <w:bCs/>
          <w:i/>
          <w:i/>
          <w:iCs/>
          <w:iCs/>
        </w:rPr>
        <w:t xml:space="preserve"> = </w:t>
      </w:r>
      <w:r>
        <w:rPr>
          <w:b/>
          <w:bCs/>
          <w:i/>
          <w:iCs/>
        </w:rPr>
        <w:t xml:space="preserve">a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b</w:t>
      </w:r>
      <w:r>
        <w:rPr>
          <w:i/>
          <w:iCs/>
        </w:rPr>
        <w:t xml:space="preserve">T</w:t>
      </w:r>
      <w:r>
        <w:t xml:space="preserve"> + </w:t>
      </w:r>
      <w:r>
        <w:rPr>
          <w:i/>
          <w:iCs/>
        </w:rPr>
        <w:t xml:space="preserve">c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2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d</w:t>
      </w:r>
      <w:r>
        <w:rPr>
          <w:i/>
          <w:iCs/>
        </w:rPr>
        <w:t xml:space="preserve">T</w:t>
      </w:r>
      <w:r>
        <w:t xml:space="preserve">3</w:t>
      </w:r>
      <w:r>
        <w:t xml:space="preserve"> + </w:t>
      </w:r>
      <w:r>
        <w:rPr>
          <w:i/>
          <w:iCs/>
        </w:rPr>
        <w:t xml:space="preserve">e</w:t>
      </w:r>
      <w:r>
        <w:rPr>
          <w:b/>
          <w:bCs/>
          <w:i/>
          <w:iCs/>
        </w:rPr>
        <w:t xml:space="preserve">T</w:t>
      </w:r>
      <w:r>
        <w:rPr>
          <w:b/>
          <w:bCs/>
          <w:i/>
          <w:i/>
          <w:iCs/>
          <w:iCs/>
        </w:rPr>
        <w:t xml:space="preserve">4</w:t>
      </w:r>
      <w:r>
        <w:rPr>
          <w:b/>
          <w:bCs/>
          <w:i/>
          <w:i/>
          <w:iCs/>
          <w:iCs/>
        </w:rPr>
        <w:t xml:space="preserve"> + </w:t>
      </w:r>
      <w:r>
        <w:rPr>
          <w:b/>
          <w:bCs/>
          <w:i/>
          <w:iCs/>
        </w:rPr>
        <w:t xml:space="preserve">f</w:t>
      </w:r>
      <w:r>
        <w:rPr>
          <w:i/>
          <w:iCs/>
        </w:rPr>
        <w:t xml:space="preserve">T</w:t>
      </w:r>
      <w:r>
        <w:t xml:space="preserve">5</w:t>
      </w:r>
      <w:r>
        <w:t xml:space="preserve">     *e**q*.3</w:t>
      </w:r>
    </w:p>
    <w:p>
      <w:pPr>
        <w:pStyle w:val="BodyText"/>
      </w:pPr>
      <w:r>
        <w:t xml:space="preserve">To calculate the second parameter in Equation 1, the residual enthalpy,</w:t>
      </w:r>
      <w:r>
        <w:t xml:space="preserve"> </w:t>
      </w:r>
      <w:r>
        <w:t xml:space="preserve">existing EOS[1] are used. Considering the problem’s requirements, the</w:t>
      </w:r>
      <w:r>
        <w:t xml:space="preserve"> </w:t>
      </w:r>
      <w:r>
        <w:t xml:space="preserve">PR[2] equation of state is chosen. Using the relations provided in</w:t>
      </w:r>
      <w:r>
        <w:t xml:space="preserve"> </w:t>
      </w:r>
      <w:r>
        <w:t xml:space="preserve">[7], presented as Equations 4 to 12, the desired parameter is</w:t>
      </w:r>
      <w:r>
        <w:t xml:space="preserve"> </w:t>
      </w:r>
      <w:r>
        <w:t xml:space="preserve">calculated. To solve the cubic equation in Equation 5, the Kamath method</w:t>
      </w:r>
      <w:r>
        <w:t xml:space="preserve"> </w:t>
      </w:r>
      <w:r>
        <w:t xml:space="preserve">is used.</w:t>
      </w:r>
    </w:p>
    <w:p>
      <w:pPr>
        <w:pStyle w:val="BodyText"/>
      </w:pPr>
      <w:r>
        <w:t xml:space="preserve">$H^{Res} = RT\left( Z - 1 - \frac{A}{B\sqrt{8}}\left( 1 + \frac{m\sqrt{T\_{r}}}{\sqrt{\alpha}} \right)\ln\left\lbrack \frac{Z + \left( 1 + \sqrt{2} \right)B}{Z + \left( 1 - \sqrt{2} \right)B} \right\rbrack \right)\\\\\\\\$</w:t>
      </w:r>
      <w:r>
        <w:t xml:space="preserve">eq.4</w:t>
      </w:r>
    </w:p>
    <w:p>
      <w:pPr>
        <w:pStyle w:val="BodyText"/>
      </w:pPr>
      <w:r>
        <w:rPr>
          <w:i/>
          <w:iCs/>
        </w:rPr>
        <w:t xml:space="preserve">Z</w:t>
      </w:r>
      <w:r>
        <w:t xml:space="preserve">3</w:t>
      </w:r>
      <w:r>
        <w:t xml:space="preserve"> − (1 − </w:t>
      </w:r>
      <w:r>
        <w:rPr>
          <w:i/>
          <w:iCs/>
        </w:rPr>
        <w:t xml:space="preserve">B</w:t>
      </w:r>
      <w:r>
        <w:t xml:space="preserve">)</w:t>
      </w:r>
      <w:r>
        <w:rPr>
          <w:i/>
          <w:iCs/>
        </w:rPr>
        <w:t xml:space="preserve">Z</w:t>
      </w:r>
      <w:r>
        <w:t xml:space="preserve">2</w:t>
      </w:r>
      <w:r>
        <w:t xml:space="preserve"> + (</w:t>
      </w:r>
      <w:r>
        <w:rPr>
          <w:i/>
          <w:iCs/>
        </w:rPr>
        <w:t xml:space="preserve">A</w:t>
      </w:r>
      <w:r>
        <w:t xml:space="preserve"> − 2</w:t>
      </w:r>
      <w:r>
        <w:rPr>
          <w:i/>
          <w:iCs/>
        </w:rPr>
        <w:t xml:space="preserve">B</w:t>
      </w:r>
      <w:r>
        <w:t xml:space="preserve"> − 3</w:t>
      </w:r>
      <w:r>
        <w:rPr>
          <w:i/>
          <w:iCs/>
        </w:rPr>
        <w:t xml:space="preserve">B</w:t>
      </w:r>
      <w:r>
        <w:t xml:space="preserve">2</w:t>
      </w:r>
      <w:r>
        <w:t xml:space="preserve">)</w:t>
      </w:r>
      <w:r>
        <w:rPr>
          <w:i/>
          <w:iCs/>
        </w:rPr>
        <w:t xml:space="preserve">Z</w:t>
      </w:r>
      <w:r>
        <w:t xml:space="preserve"> − (*A**B</w:t>
      </w:r>
      <w:r>
        <w:rPr>
          <w:i/>
          <w:iCs/>
        </w:rPr>
        <w:t xml:space="preserve"> − </w:t>
      </w:r>
      <w:r>
        <w:t xml:space="preserve">B</w:t>
      </w:r>
      <w:r>
        <w:rPr>
          <w:i/>
          <w:iCs/>
        </w:rPr>
        <w:t xml:space="preserve">2</w:t>
      </w:r>
      <w:r>
        <w:rPr>
          <w:i/>
          <w:iCs/>
        </w:rPr>
        <w:t xml:space="preserve"> − </w:t>
      </w:r>
      <w:r>
        <w:t xml:space="preserve">B*</w:t>
      </w:r>
      <w:r>
        <w:t xml:space="preserve">3</w:t>
      </w:r>
      <w:r>
        <w:t xml:space="preserve">)</w:t>
      </w:r>
      <w:r>
        <w:t xml:space="preserve"> </w:t>
      </w:r>
      <w:r>
        <w:t xml:space="preserve">eq.5</w:t>
      </w:r>
    </w:p>
    <w:p>
      <w:pPr>
        <w:pStyle w:val="BodyText"/>
      </w:pPr>
      <m:oMath>
        <m:r>
          <m:t>T</m:t>
        </m:r>
        <m:r>
          <m:rPr>
            <m:sty m:val="p"/>
          </m:rPr>
          <m:t>_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_</m:t>
            </m:r>
            <m:r>
              <m:t>c</m:t>
            </m:r>
          </m:den>
        </m:f>
      </m:oMath>
      <w:r>
        <w:t xml:space="preserve"> </w:t>
      </w:r>
      <w:r>
        <w:t xml:space="preserve">eq.6</w:t>
      </w:r>
    </w:p>
    <w:p>
      <w:pPr>
        <w:pStyle w:val="BodyText"/>
      </w:pPr>
      <w:r>
        <w:rPr>
          <w:i/>
          <w:iCs/>
        </w:rPr>
        <w:t xml:space="preserve">α</w:t>
      </w:r>
      <w:r>
        <w:t xml:space="preserve">= [1 + </w:t>
      </w:r>
      <w:r>
        <w:rPr>
          <w:i/>
          <w:iCs/>
        </w:rPr>
        <w:t xml:space="preserve">m</w:t>
      </w:r>
      <w:r>
        <w:t xml:space="preserve">(1 − </w:t>
      </w:r>
      <w:r>
        <w:rPr>
          <w:i/>
          <w:iCs/>
        </w:rPr>
        <w:t xml:space="preserve">T</w:t>
      </w:r>
      <w:r>
        <w:rPr>
          <w:i/>
          <w:iCs/>
        </w:rPr>
        <w:t xml:space="preserve">r</w:t>
      </w:r>
      <w:r>
        <w:t xml:space="preserve">0.5</w:t>
      </w:r>
      <w:r>
        <w:t xml:space="preserve">)]</w:t>
      </w:r>
      <w:r>
        <w:t xml:space="preserve">2</w:t>
      </w:r>
      <w:r>
        <w:t xml:space="preserve"> </w:t>
      </w:r>
      <w:r>
        <w:t xml:space="preserve">eq.7</w:t>
      </w:r>
    </w:p>
    <w:p>
      <w:pPr>
        <w:pStyle w:val="BodyText"/>
      </w:pPr>
      <w:r>
        <w:rPr>
          <w:i/>
          <w:iCs/>
        </w:rPr>
        <w:t xml:space="preserve">m</w:t>
      </w:r>
      <w:r>
        <w:t xml:space="preserve"> = 0.375 + 1.54</w:t>
      </w:r>
      <w:r>
        <w:rPr>
          <w:i/>
          <w:iCs/>
        </w:rPr>
        <w:t xml:space="preserve">ω</w:t>
      </w:r>
      <w:r>
        <w:t xml:space="preserve"> − 0.27</w:t>
      </w:r>
      <w:r>
        <w:rPr>
          <w:i/>
          <w:iCs/>
        </w:rPr>
        <w:t xml:space="preserve">ω</w:t>
      </w:r>
      <w:r>
        <w:t xml:space="preserve">2</w:t>
      </w:r>
      <w:r>
        <w:t xml:space="preserve"> </w:t>
      </w:r>
      <w:r>
        <w:t xml:space="preserve">eq.8</w:t>
      </w:r>
    </w:p>
    <w:p>
      <w:pPr>
        <w:pStyle w:val="BodyText"/>
      </w:pPr>
      <w:r>
        <w:t xml:space="preserve">$a = 0.457235\\\frac{R^{2}T\_{C}^{2}}{P\_{C}}\*\\\alpha$</w:t>
      </w:r>
      <w:r>
        <w:t xml:space="preserve"> </w:t>
      </w:r>
      <w:r>
        <w:t xml:space="preserve">eq.9</w:t>
      </w:r>
    </w:p>
    <w:p>
      <w:pPr>
        <w:pStyle w:val="BodyText"/>
      </w:pPr>
      <w:r>
        <w:t xml:space="preserve">$b = 0.077796\\\frac{RT\_{c}}{P\_{C}}$</w:t>
      </w:r>
      <w:r>
        <w:t xml:space="preserve"> </w:t>
      </w:r>
      <w:r>
        <w:t xml:space="preserve">eq.10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P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R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eq.11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P</m:t>
            </m:r>
          </m:num>
          <m:den>
            <m:r>
              <m:t>R</m:t>
            </m:r>
            <m:r>
              <m:t>T</m:t>
            </m:r>
          </m:den>
        </m:f>
      </m:oMath>
      <w:r>
        <w:t xml:space="preserve"> </w:t>
      </w:r>
      <w:r>
        <w:t xml:space="preserve">eq.12</w:t>
      </w:r>
    </w:p>
    <w:p>
      <w:pPr>
        <w:pStyle w:val="BodyText"/>
      </w:pPr>
      <w:r>
        <w:t xml:space="preserve">Assuming the purity of each stream, by substituting either the</w:t>
      </w:r>
      <w:r>
        <w:t xml:space="preserve"> </w:t>
      </w:r>
      <w:r>
        <w:t xml:space="preserve">temperature or pressure of a stream, other parameters of that stream,</w:t>
      </w:r>
      <w:r>
        <w:t xml:space="preserve"> </w:t>
      </w:r>
      <w:r>
        <w:t xml:space="preserve">such as the fugacity coefficient (Equations 13 &amp; 14) or the</w:t>
      </w:r>
      <w:r>
        <w:t xml:space="preserve"> </w:t>
      </w:r>
      <w:r>
        <w:t xml:space="preserve">compressibility factor, can be calculated.</w:t>
      </w:r>
    </w:p>
    <w:p>
      <w:pPr>
        <w:pStyle w:val="BodyText"/>
      </w:pPr>
      <w:r>
        <w:rPr>
          <w:i/>
          <w:iCs/>
        </w:rPr>
        <w:t xml:space="preserve">f</w:t>
      </w:r>
      <w:r>
        <w:rPr>
          <w:b/>
          <w:bCs/>
          <w:i/>
          <w:iCs/>
        </w:rPr>
        <w:t xml:space="preserve">o</w:t>
      </w:r>
      <w:r>
        <w:rPr>
          <w:i/>
          <w:iCs/>
        </w:rPr>
        <w:t xml:space="preserve">r</w:t>
      </w:r>
      <w:r>
        <w:t xml:space="preserve"> </w:t>
      </w:r>
      <w:r>
        <w:rPr>
          <w:i/>
          <w:iCs/>
        </w:rPr>
        <w:t xml:space="preserve">p</w:t>
      </w:r>
      <w:r>
        <w:rPr>
          <w:b/>
          <w:bCs/>
          <w:i/>
          <w:iCs/>
        </w:rPr>
        <w:t xml:space="preserve">u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e</w:t>
      </w:r>
      <w:r>
        <w:rPr>
          <w:b/>
          <w:bCs/>
          <w:i/>
          <w:i/>
          <w:iCs/>
          <w:iCs/>
        </w:rPr>
        <w:t xml:space="preserve"> 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y</w:t>
      </w:r>
      <w:r>
        <w:rPr>
          <w:b/>
          <w:bCs/>
          <w:i/>
          <w:iCs/>
        </w:rPr>
        <w:t xml:space="preserve">s</w:t>
      </w:r>
      <w:r>
        <w:rPr>
          <w:i/>
          <w:iCs/>
        </w:rPr>
        <w:t xml:space="preserve">t</w:t>
      </w:r>
      <w:r>
        <w:rPr>
          <w:b/>
          <w:bCs/>
          <w:i/>
          <w:iCs/>
        </w:rPr>
        <w:t xml:space="preserve">e</w:t>
      </w:r>
      <w:r>
        <w:rPr>
          <w:i/>
          <w:iCs/>
        </w:rPr>
        <w:t xml:space="preserve">m</w:t>
      </w:r>
      <w:r>
        <w:t xml:space="preserve">→ </w:t>
      </w:r>
      <w:r>
        <w:rPr>
          <w:i/>
          <w:iCs/>
        </w:rPr>
        <w:t xml:space="preserve">φ</w:t>
      </w:r>
      <w:r>
        <w:rPr>
          <w:i/>
          <w:iCs/>
        </w:rPr>
        <w:t xml:space="preserve">v</w:t>
      </w:r>
      <w:r>
        <w:t xml:space="preserve"> = </w:t>
      </w:r>
      <w:r>
        <w:rPr>
          <w:i/>
          <w:iCs/>
        </w:rPr>
        <w:t xml:space="preserve">φ</w:t>
      </w:r>
      <w:r>
        <w:rPr>
          <w:i/>
          <w:iCs/>
        </w:rPr>
        <w:t xml:space="preserve">l</w:t>
      </w:r>
      <w:r>
        <w:t xml:space="preserve"> </w:t>
      </w:r>
      <w:r>
        <w:t xml:space="preserve">eq.13</w:t>
      </w:r>
    </w:p>
    <w:p>
      <w:pPr>
        <w:pStyle w:val="BodyText"/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φ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  <m:r>
              <m:t>B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num>
              <m:den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den>
            </m:f>
          </m:e>
        </m:d>
      </m:oMath>
      <w:r>
        <w:t xml:space="preserve"> </w:t>
      </w:r>
      <w:r>
        <w:t xml:space="preserve">eq.14</w:t>
      </w:r>
    </w:p>
    <w:p>
      <w:pPr>
        <w:pStyle w:val="BodyText"/>
      </w:pPr>
      <w:r>
        <w:t xml:space="preserve">To find the molar flow rate of the pure component in the cycle, Equation</w:t>
      </w:r>
      <w:r>
        <w:t xml:space="preserve"> </w:t>
      </w:r>
      <w:r>
        <w:t xml:space="preserve">15 is used, which determines the molar flow rate of the component by</w:t>
      </w:r>
      <w:r>
        <w:t xml:space="preserve"> </w:t>
      </w:r>
      <w:r>
        <w:t xml:space="preserve">balancing the energy in the cycle’s evaporator.</w:t>
      </w:r>
    </w:p>
    <w:p>
      <w:pPr>
        <w:pStyle w:val="BodyText"/>
      </w:pPr>
      <w:r>
        <w:rPr>
          <w:i/>
          <w:iCs/>
        </w:rPr>
        <w:t xml:space="preserve">ṅ</w:t>
      </w:r>
      <w:r>
        <w:t xml:space="preserve">(</w:t>
      </w:r>
      <w:r>
        <w:rPr>
          <w:i/>
          <w:iCs/>
        </w:rPr>
        <w:t xml:space="preserve">H</w:t>
      </w:r>
      <w:r>
        <w:t xml:space="preserve">1</w:t>
      </w:r>
      <w:r>
        <w:t xml:space="preserve"> − </w:t>
      </w:r>
      <w:r>
        <w:rPr>
          <w:i/>
          <w:iCs/>
        </w:rPr>
        <w:t xml:space="preserve">H</w:t>
      </w:r>
      <w:r>
        <w:t xml:space="preserve">4</w:t>
      </w:r>
      <w:r>
        <w:t xml:space="preserve">)= </w:t>
      </w:r>
      <w:r>
        <w:rPr>
          <w:i/>
          <w:iCs/>
        </w:rPr>
        <w:t xml:space="preserve">ṁ</w:t>
      </w:r>
      <w:r>
        <w:rPr>
          <w:i/>
          <w:iCs/>
        </w:rPr>
        <w:t xml:space="preserve">w</w:t>
      </w:r>
      <w:r>
        <w:rPr>
          <w:i/>
          <w:iCs/>
        </w:rPr>
        <w:t xml:space="preserve">C</w:t>
      </w:r>
      <w:r>
        <w:rPr>
          <w:i/>
          <w:iCs/>
        </w:rPr>
        <w:t xml:space="preserve">p</w:t>
      </w:r>
      <w:r>
        <w:t xml:space="preserve">, </w:t>
      </w:r>
      <w:r>
        <w:rPr>
          <w:i/>
          <w:iCs/>
        </w:rPr>
        <w:t xml:space="preserve">w</w:t>
      </w:r>
      <w:r>
        <w:t xml:space="preserve">(Δ</w:t>
      </w:r>
      <w:r>
        <w:rPr>
          <w:i/>
          <w:iCs/>
        </w:rPr>
        <w:t xml:space="preserve">T</w:t>
      </w:r>
      <w:r>
        <w:t xml:space="preserve"> − 5)       *e**q*.15</w:t>
      </w:r>
    </w:p>
    <w:p>
      <w:pPr>
        <w:pStyle w:val="BodyText"/>
      </w:pPr>
      <w:r>
        <w:t xml:space="preserve">Subsequently, the thermodynamic parameters of the mentioned cycle are</w:t>
      </w:r>
      <w:r>
        <w:t xml:space="preserve"> </w:t>
      </w:r>
      <w:r>
        <w:t xml:space="preserve">calculated, and the pump’s required work is determined using Equation 16</w:t>
      </w:r>
      <w:r>
        <w:t xml:space="preserve"> </w:t>
      </w:r>
      <w:r>
        <w:t xml:space="preserve">&amp; 17. Finally, the turbine’s generated work is calculated using Equation</w:t>
      </w:r>
      <w:r>
        <w:t xml:space="preserve"> </w:t>
      </w:r>
      <w:r>
        <w:t xml:space="preserve">18.</w:t>
      </w:r>
    </w:p>
    <w:p>
      <w:pPr>
        <w:pStyle w:val="BodyText"/>
      </w:pPr>
      <w:r>
        <w:t xml:space="preserve">$$\mathrm{\Delta}H\_{pump} = \\\frac{\left( P\_{4} - P\_{3} \right)\*\dot{n}\*MW}{density}\\\\\\\\\\\\\\\\eq.16$$</w:t>
      </w:r>
    </w:p>
    <w:p>
      <w:pPr>
        <w:pStyle w:val="FirstParagraph"/>
      </w:pPr>
      <w:r>
        <w:t xml:space="preserve">$$W\_{pump} = \\\frac{\mathrm{\Delta}H\_{pump}}{\eta\_{pump}}\\\\\\\\\\\\\\\\\\\\\\\\\\\\\\\\\\\\\\\\\\eq.17$$</w:t>
      </w:r>
    </w:p>
    <w:p>
      <w:pPr>
        <w:pStyle w:val="FirstParagraph"/>
      </w:pPr>
      <w:r>
        <w:rPr>
          <w:i/>
          <w:iCs/>
        </w:rPr>
        <w:t xml:space="preserve">W</w:t>
      </w:r>
      <w:r>
        <w:rPr>
          <w:i/>
          <w:iCs/>
        </w:rPr>
        <w:t xml:space="preserve">t</w:t>
      </w:r>
      <w:r>
        <w:rPr>
          <w:b/>
          <w:bCs/>
          <w:i/>
          <w:iCs/>
        </w:rPr>
        <w:t xml:space="preserve">u</w:t>
      </w:r>
      <w:r>
        <w:rPr>
          <w:i/>
          <w:iCs/>
        </w:rPr>
        <w:t xml:space="preserve">r</w:t>
      </w:r>
      <w:r>
        <w:rPr>
          <w:b/>
          <w:bCs/>
          <w:i/>
          <w:iCs/>
        </w:rPr>
        <w:t xml:space="preserve">b</w:t>
      </w:r>
      <w:r>
        <w:rPr>
          <w:i/>
          <w:iCs/>
        </w:rPr>
        <w:t xml:space="preserve">i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e</w:t>
      </w:r>
      <w:r>
        <w:t xml:space="preserve">= </w:t>
      </w:r>
      <w:r>
        <w:rPr>
          <w:i/>
          <w:iCs/>
        </w:rPr>
        <w:t xml:space="preserve">ṅ</w:t>
      </w:r>
      <w:r>
        <w:t xml:space="preserve">(</w:t>
      </w:r>
      <w:r>
        <w:rPr>
          <w:i/>
          <w:iCs/>
        </w:rPr>
        <w:t xml:space="preserve">H</w:t>
      </w:r>
      <w:r>
        <w:t xml:space="preserve">1</w:t>
      </w:r>
      <w:r>
        <w:t xml:space="preserve"> − </w:t>
      </w:r>
      <w:r>
        <w:rPr>
          <w:i/>
          <w:iCs/>
        </w:rPr>
        <w:t xml:space="preserve">H</w:t>
      </w:r>
      <w:r>
        <w:t xml:space="preserve">2</w:t>
      </w:r>
      <w:r>
        <w:t xml:space="preserve">)               *e**q*.18</w:t>
      </w:r>
    </w:p>
    <w:p>
      <w:pPr>
        <w:pStyle w:val="BodyText"/>
      </w:pPr>
      <w:r>
        <w:t xml:space="preserve">Given that the fluid at the turbine inlet must be steam and the heating</w:t>
      </w:r>
      <w:r>
        <w:t xml:space="preserve"> </w:t>
      </w:r>
      <w:r>
        <w:t xml:space="preserve">fluid is water, the boiling point of the selected fluid must be lower</w:t>
      </w:r>
      <w:r>
        <w:t xml:space="preserve"> </w:t>
      </w:r>
      <w:r>
        <w:t xml:space="preserve">than the boiling point of water (100 degrees Celsius).</w:t>
      </w:r>
    </w:p>
    <w:p>
      <w:pPr>
        <w:pStyle w:val="BodyText"/>
      </w:pPr>
      <w:r>
        <w:t xml:space="preserve">Also, the fluid at the inlet of the flow pump 3 is completely liquid.</w:t>
      </w:r>
      <w:r>
        <w:t xml:space="preserve"> </w:t>
      </w:r>
      <w:r>
        <w:t xml:space="preserve">And given the cooling air temperature of 25 degrees, the best case</w:t>
      </w:r>
      <w:r>
        <w:t xml:space="preserve"> </w:t>
      </w:r>
      <w:r>
        <w:t xml:space="preserve">scenario is that the outlet from the cooler can be 30 degrees Celsius,</w:t>
      </w:r>
      <w:r>
        <w:t xml:space="preserve"> </w:t>
      </w:r>
      <w:r>
        <w:t xml:space="preserve">so fluids whose boiling points are higher than 30 degrees Celsius should</w:t>
      </w:r>
      <w:r>
        <w:t xml:space="preserve"> </w:t>
      </w:r>
      <w:r>
        <w:t xml:space="preserve">be selected.</w:t>
      </w:r>
    </w:p>
    <w:p>
      <w:pPr>
        <w:pStyle w:val="BodyText"/>
      </w:pPr>
      <w:r>
        <w:t xml:space="preserve">Given these constraints, 16 fluids (table 2) were selected, of which</w:t>
      </w:r>
      <w:r>
        <w:t xml:space="preserve"> </w:t>
      </w:r>
      <w:r>
        <w:t xml:space="preserve">these three fluids (Actone, Ethanol, FC72) were also removed due to</w:t>
      </w:r>
      <w:r>
        <w:t xml:space="preserve"> </w:t>
      </w:r>
      <w:r>
        <w:t xml:space="preserve">their inappropriateness for the Ping-Robinson equations (due to the</w:t>
      </w:r>
      <w:r>
        <w:t xml:space="preserve"> </w:t>
      </w:r>
      <w:r>
        <w:t xml:space="preserve">warning of the Hysys software), and also the fluid (R124) can liquefy at</w:t>
      </w:r>
      <w:r>
        <w:t xml:space="preserve"> </w:t>
      </w:r>
      <w:r>
        <w:t xml:space="preserve">temperatures much lower than 30 degrees, and its boiling point is</w:t>
      </w:r>
      <w:r>
        <w:t xml:space="preserve"> </w:t>
      </w:r>
      <w:r>
        <w:t xml:space="preserve">probably incorrectly stated as 36.1 in the Excel file.</w:t>
      </w:r>
    </w:p>
    <w:p>
      <w:pPr>
        <w:pStyle w:val="BodyText"/>
      </w:pPr>
      <w:r>
        <w:t xml:space="preserve">Table 2. Selected fluids.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Name</w:t>
      </w:r>
    </w:p>
    <w:p>
      <w:pPr>
        <w:pStyle w:val="BodyText"/>
      </w:pPr>
      <w:r>
        <w:t xml:space="preserve">T</w:t>
      </w:r>
      <w:r>
        <w:t xml:space="preserve">b</w:t>
      </w:r>
      <w:r>
        <w:t xml:space="preserve">@ 1 </w:t>
      </w:r>
      <w:r>
        <w:t xml:space="preserve">b</w:t>
      </w:r>
      <w:r>
        <w:t xml:space="preserve">a</w:t>
      </w:r>
      <w:r>
        <w:t xml:space="preserve">r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2,2-dimethylbutane</w:t>
      </w:r>
    </w:p>
    <w:p>
      <w:pPr>
        <w:pStyle w:val="BodyText"/>
      </w:pPr>
      <w:r>
        <w:t xml:space="preserve">49.73101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4-methyl-2-pentene</w:t>
      </w:r>
    </w:p>
    <w:p>
      <w:pPr>
        <w:pStyle w:val="BodyText"/>
      </w:pPr>
      <w:r>
        <w:t xml:space="preserve">58.58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Acetone</w:t>
      </w:r>
    </w:p>
    <w:p>
      <w:pPr>
        <w:pStyle w:val="BodyText"/>
      </w:pPr>
      <w:r>
        <w:t xml:space="preserve">56.07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Benzene</w:t>
      </w:r>
    </w:p>
    <w:p>
      <w:pPr>
        <w:pStyle w:val="BodyText"/>
      </w:pPr>
      <w:r>
        <w:t xml:space="preserve">80.06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Cyclopentane</w:t>
      </w:r>
    </w:p>
    <w:p>
      <w:pPr>
        <w:pStyle w:val="BodyText"/>
      </w:pPr>
      <w:r>
        <w:t xml:space="preserve">49.24801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Dichloromethane</w:t>
      </w:r>
    </w:p>
    <w:p>
      <w:pPr>
        <w:pStyle w:val="BodyText"/>
      </w:pPr>
      <w:r>
        <w:t xml:space="preserve">39.85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Ethanol</w:t>
      </w:r>
    </w:p>
    <w:p>
      <w:pPr>
        <w:pStyle w:val="BodyText"/>
      </w:pPr>
      <w:r>
        <w:t xml:space="preserve">78.15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FC72</w:t>
      </w:r>
    </w:p>
    <w:p>
      <w:pPr>
        <w:pStyle w:val="BodyText"/>
      </w:pPr>
      <w:r>
        <w:t xml:space="preserve">55.9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Isohexane</w:t>
      </w:r>
    </w:p>
    <w:p>
      <w:pPr>
        <w:pStyle w:val="BodyText"/>
      </w:pPr>
      <w:r>
        <w:t xml:space="preserve">60.11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Methanol</w:t>
      </w:r>
    </w:p>
    <w:p>
      <w:pPr>
        <w:pStyle w:val="BodyText"/>
      </w:pPr>
      <w:r>
        <w:t xml:space="preserve">64.54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n-heptane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n-hexane</w:t>
      </w:r>
    </w:p>
    <w:p>
      <w:pPr>
        <w:pStyle w:val="BodyText"/>
      </w:pPr>
      <w:r>
        <w:t xml:space="preserve">69.18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n-pentane</w:t>
      </w:r>
    </w:p>
    <w:p>
      <w:pPr>
        <w:pStyle w:val="BodyText"/>
      </w:pPr>
      <w:r>
        <w:t xml:space="preserve">35.78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R113</w:t>
      </w:r>
    </w:p>
    <w:p>
      <w:pPr>
        <w:pStyle w:val="BodyText"/>
      </w:pPr>
      <w:r>
        <w:t xml:space="preserve">47.57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R124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R141b</w:t>
      </w:r>
    </w:p>
    <w:p>
      <w:pPr>
        <w:pStyle w:val="BodyText"/>
      </w:pPr>
      <w:r>
        <w:t xml:space="preserve">31.99999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Results and discution</w:t>
      </w:r>
    </w:p>
    <w:p>
      <w:pPr>
        <w:pStyle w:val="FirstParagraph"/>
      </w:pPr>
      <w:r>
        <w:t xml:space="preserve">نتایج قسمت A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Here is the data from the spreadsheet in the image: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Wnet(Kj/s)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نتایج: با توجه به جواب مدلسازی، سیال انتخاب‌شده همان سیال HYSYS است؛ خطا در اکثر متغیرها مناسب است و فقط کار توربین و آنتالپی جریان ۲ نیاز به بهبود دارند.</w:t>
      </w:r>
    </w:p>
    <w:p>
      <w:pPr>
        <w:pStyle w:val="BodyText"/>
      </w:pPr>
      <w:r>
        <w:t xml:space="preserve">نتیجه: با توجه به ۵ سیال انتخاب‌شده، سیالات با جرم مولکولی بزرگ‌تر W_net بزرگ‌تری ایجاد کرده‌اند؛ مطابق ادبیات (1,2).</w:t>
      </w:r>
    </w:p>
    <w:p>
      <w:pPr>
        <w:numPr>
          <w:ilvl w:val="0"/>
          <w:numId w:val="1005"/>
        </w:numPr>
      </w:pPr>
      <w:r>
        <w:t xml:space="preserve">Song C, Gu M, Miao Z, Liu C, Xu J. Effect of fluid dryness and critical temperature on trans-critical ORC. Energy 2019;174:97–109. https://doi.org/10.1016/j.energy.2019.02.171</w:t>
      </w:r>
    </w:p>
    <w:p>
      <w:pPr>
        <w:numPr>
          <w:ilvl w:val="0"/>
          <w:numId w:val="1005"/>
        </w:numPr>
      </w:pPr>
      <w:r>
        <w:t xml:space="preserve">Xu J, Yu C. Critical temperature criterion for selection of working fluids for subcritical ORC. Energy 2014;74:719–33. https://doi.org/10.1016/j.energy.2014.07.038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Conclutions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[Appendix – Added Results (as requested)]</w:t>
      </w:r>
    </w:p>
    <w:p>
      <w:pPr>
        <w:pStyle w:val="BodyText"/>
      </w:pPr>
      <w:r>
        <w:t xml:space="preserve">نتایج قسمت A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GAMS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توضیح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-415.585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242.70688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 Flow [kJ/s]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Molar 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1.3898043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[kgmole/s]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-90102.27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-90025.2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-96361.81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-26.9095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-122262.9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Molar Enthalpy [kJ/kmole]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20.959427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[bar]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313.24878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[K]</w:t>
            </w:r>
          </w:p>
        </w:tc>
      </w:tr>
    </w:tbl>
    <w:p>
      <w:pPr>
        <w:pStyle w:val="BodyText"/>
      </w:pPr>
      <w:r>
        <w:t xml:space="preserve">Here is the data from the spreadsheet in the image (Part A candidates):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Hysys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Wnet(Kj/s)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258.134799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6839.564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5213.5163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219.5780021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6365.124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4872.8213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92.17404287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4378.2778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221.3920083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7617.756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5872.813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242.7068797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8699.537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6716.9227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205.8012394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6114.503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4685.8008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108.9162242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6929.143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5434.3979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71.80336678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3557.273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2774.0151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166.2908911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5674.165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4373.0408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344.476657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7579.137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5718.8307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278.818838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5479.2284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362.5213291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8510.272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6445.6959</w:t>
            </w:r>
          </w:p>
        </w:tc>
      </w:tr>
    </w:tbl>
    <w:p>
      <w:pPr>
        <w:pStyle w:val="BodyText"/>
      </w:pPr>
      <w:r>
        <w:t xml:space="preserve">نتایج: سیال انتخاب شده همان سیال HYSYS است؛ اغلب خطاها کوچک‌اند و فقط کار توربین و آنتالپی جریان ۲ انحراف دارند.</w:t>
      </w:r>
    </w:p>
    <w:p>
      <w:pPr>
        <w:pStyle w:val="BodyText"/>
      </w:pPr>
      <w:r>
        <w:t xml:space="preserve">نتیجه: از بین ۵ سیال انتخابی، سیالات با جرم مولکولی بزرگ‌تر W_net بیشتری ایجاد کرده‌اند؛ مطابق ادبیات (1,2) درباره معیار دمای بحرانی.</w:t>
      </w:r>
    </w:p>
    <w:p>
      <w:pPr>
        <w:numPr>
          <w:ilvl w:val="0"/>
          <w:numId w:val="1007"/>
        </w:numPr>
      </w:pPr>
      <w:r>
        <w:t xml:space="preserve">Song C, Gu M, Miao Z, Liu C, Xu J. Energy 2019;174:97–109. https://doi.org/10.1016/j.energy.2019.02.171</w:t>
      </w:r>
    </w:p>
    <w:p>
      <w:pPr>
        <w:numPr>
          <w:ilvl w:val="0"/>
          <w:numId w:val="1007"/>
        </w:numPr>
      </w:pPr>
      <w:r>
        <w:t xml:space="preserve">Xu J, Yu C. Energy 2014;74:719–33. https://doi.org/10.1016/j.energy.2014.07.038</w:t>
      </w:r>
    </w:p>
    <w:p>
      <w:pPr>
        <w:pStyle w:val="FirstParagraph"/>
      </w:pPr>
      <w:r>
        <w:t xml:space="preserve">Miller, T., et al.,</w:t>
      </w:r>
      <w:r>
        <w:t xml:space="preserve"> </w:t>
      </w:r>
      <w:r>
        <w:rPr>
          <w:i/>
          <w:iCs/>
        </w:rPr>
        <w:t xml:space="preserve">Waste Heat Utilization in Marine Energy Systems for</w:t>
      </w:r>
      <w:r>
        <w:rPr>
          <w:i/>
          <w:iCs/>
        </w:rPr>
        <w:t xml:space="preserve"> </w:t>
      </w:r>
      <w:r>
        <w:rPr>
          <w:i/>
          <w:iCs/>
        </w:rPr>
        <w:t xml:space="preserve">Enhanced Efficiency.</w:t>
      </w:r>
      <w:r>
        <w:t xml:space="preserve"> </w:t>
      </w:r>
      <w:r>
        <w:t xml:space="preserve">Energies, 2024.</w:t>
      </w:r>
      <w:r>
        <w:t xml:space="preserve"> </w:t>
      </w:r>
      <w:r>
        <w:rPr>
          <w:b/>
          <w:bCs/>
        </w:rPr>
        <w:t xml:space="preserve">17</w:t>
      </w:r>
      <w:r>
        <w:t xml:space="preserve">(22): p. 5653.Palma-Flores,</w:t>
      </w:r>
      <w:r>
        <w:t xml:space="preserve"> </w:t>
      </w:r>
      <w:r>
        <w:t xml:space="preserve">O., A. Flores-Tlacuahuac, and G. Canseco-Melchorb,</w:t>
      </w:r>
      <w:r>
        <w:t xml:space="preserve"> </w:t>
      </w:r>
      <w:r>
        <w:rPr>
          <w:i/>
          <w:iCs/>
        </w:rPr>
        <w:t xml:space="preserve">Simultaneous</w:t>
      </w:r>
      <w:r>
        <w:rPr>
          <w:i/>
          <w:iCs/>
        </w:rPr>
        <w:t xml:space="preserve"> </w:t>
      </w:r>
      <w:r>
        <w:rPr>
          <w:i/>
          <w:iCs/>
        </w:rPr>
        <w:t xml:space="preserve">molecular and process design for waste heat recovery.</w:t>
      </w:r>
      <w:r>
        <w:t xml:space="preserve"> </w:t>
      </w:r>
      <w:r>
        <w:t xml:space="preserve">Energy, 2016.</w:t>
      </w:r>
      <w:r>
        <w:t xml:space="preserve"> </w:t>
      </w:r>
      <w:r>
        <w:rPr>
          <w:b/>
          <w:bCs/>
        </w:rPr>
        <w:t xml:space="preserve">99</w:t>
      </w:r>
      <w:r>
        <w:t xml:space="preserve">: p. 32-47.Canseco Melchor, G., O. Palma Flores, and A. Flores</w:t>
      </w:r>
      <w:r>
        <w:t xml:space="preserve"> </w:t>
      </w:r>
      <w:r>
        <w:t xml:space="preserve">Tlacuahuac,</w:t>
      </w:r>
      <w:r>
        <w:t xml:space="preserve"> </w:t>
      </w:r>
      <w:r>
        <w:rPr>
          <w:i/>
          <w:iCs/>
        </w:rPr>
        <w:t xml:space="preserve">Simultaneous molecular and process design for waste heat</w:t>
      </w:r>
      <w:r>
        <w:rPr>
          <w:i/>
          <w:iCs/>
        </w:rPr>
        <w:t xml:space="preserve"> </w:t>
      </w:r>
      <w:r>
        <w:rPr>
          <w:i/>
          <w:iCs/>
        </w:rPr>
        <w:t xml:space="preserve">recovery.</w:t>
      </w:r>
      <w:r>
        <w:t xml:space="preserve"> </w:t>
      </w:r>
      <w:r>
        <w:t xml:space="preserve">2016.Oyekale, J., et al.,</w:t>
      </w:r>
      <w:r>
        <w:t xml:space="preserve"> </w:t>
      </w:r>
      <w:r>
        <w:rPr>
          <w:i/>
          <w:iCs/>
        </w:rPr>
        <w:t xml:space="preserve">Impacts of renewable energy</w:t>
      </w:r>
      <w:r>
        <w:rPr>
          <w:i/>
          <w:iCs/>
        </w:rPr>
        <w:t xml:space="preserve"> </w:t>
      </w:r>
      <w:r>
        <w:rPr>
          <w:i/>
          <w:iCs/>
        </w:rPr>
        <w:t xml:space="preserve">resources on effectiveness of grid-integrated systems: Succinct review</w:t>
      </w:r>
      <w:r>
        <w:rPr>
          <w:i/>
          <w:iCs/>
        </w:rPr>
        <w:t xml:space="preserve"> </w:t>
      </w:r>
      <w:r>
        <w:rPr>
          <w:i/>
          <w:iCs/>
        </w:rPr>
        <w:t xml:space="preserve">of current challenges and potential solution strategies.</w:t>
      </w:r>
      <w:r>
        <w:t xml:space="preserve"> </w:t>
      </w:r>
      <w:r>
        <w:t xml:space="preserve">Energies,</w:t>
      </w:r>
      <w:r>
        <w:t xml:space="preserve"> </w:t>
      </w:r>
      <w:r>
        <w:t xml:space="preserve">2020.</w:t>
      </w:r>
      <w:r>
        <w:t xml:space="preserve"> </w:t>
      </w:r>
      <w:r>
        <w:rPr>
          <w:b/>
          <w:bCs/>
        </w:rPr>
        <w:t xml:space="preserve">13</w:t>
      </w:r>
      <w:r>
        <w:t xml:space="preserve">(18): p. 4856.Zhang, S., et al.,</w:t>
      </w:r>
      <w:r>
        <w:t xml:space="preserve"> </w:t>
      </w:r>
      <w:r>
        <w:rPr>
          <w:i/>
          <w:iCs/>
        </w:rPr>
        <w:t xml:space="preserve">Thermo-economic assessment</w:t>
      </w:r>
      <w:r>
        <w:rPr>
          <w:i/>
          <w:iCs/>
        </w:rPr>
        <w:t xml:space="preserve"> </w:t>
      </w:r>
      <w:r>
        <w:rPr>
          <w:i/>
          <w:iCs/>
        </w:rPr>
        <w:t xml:space="preserve">and multi-objective optimization of organic Rankine cycle driven by</w:t>
      </w:r>
      <w:r>
        <w:rPr>
          <w:i/>
          <w:iCs/>
        </w:rPr>
        <w:t xml:space="preserve"> </w:t>
      </w:r>
      <w:r>
        <w:rPr>
          <w:i/>
          <w:iCs/>
        </w:rPr>
        <w:t xml:space="preserve">solar energy and waste heat.</w:t>
      </w:r>
      <w:r>
        <w:t xml:space="preserve"> </w:t>
      </w:r>
      <w:r>
        <w:t xml:space="preserve">Energy, 2024.</w:t>
      </w:r>
      <w:r>
        <w:t xml:space="preserve"> </w:t>
      </w:r>
      <w:r>
        <w:rPr>
          <w:b/>
          <w:bCs/>
        </w:rPr>
        <w:t xml:space="preserve">290</w:t>
      </w:r>
      <w:r>
        <w:t xml:space="preserve">: p.</w:t>
      </w:r>
      <w:r>
        <w:t xml:space="preserve"> </w:t>
      </w:r>
      <w:r>
        <w:t xml:space="preserve">130223.Damarseckin, S., et al.,</w:t>
      </w:r>
      <w:r>
        <w:t xml:space="preserve"> </w:t>
      </w:r>
      <w:r>
        <w:rPr>
          <w:i/>
          <w:iCs/>
        </w:rPr>
        <w:t xml:space="preserve">A comparative review of ORC and R-ORC</w:t>
      </w:r>
      <w:r>
        <w:rPr>
          <w:i/>
          <w:iCs/>
        </w:rPr>
        <w:t xml:space="preserve"> </w:t>
      </w:r>
      <w:r>
        <w:rPr>
          <w:i/>
          <w:iCs/>
        </w:rPr>
        <w:t xml:space="preserve">technologies in terms of energy, exergy, and economic performance.</w:t>
      </w:r>
      <w:r>
        <w:t xml:space="preserve"> </w:t>
      </w:r>
      <w:r>
        <w:t xml:space="preserve">Heliyon, 2024.</w:t>
      </w:r>
      <w:r>
        <w:t xml:space="preserve"> </w:t>
      </w:r>
      <w:r>
        <w:rPr>
          <w:b/>
          <w:bCs/>
        </w:rPr>
        <w:t xml:space="preserve">10</w:t>
      </w:r>
      <w:r>
        <w:t xml:space="preserve">(23).Chung, Yongchul G., Emmanuel Haldoupis,</w:t>
      </w:r>
      <w:r>
        <w:t xml:space="preserve"> </w:t>
      </w:r>
      <w:r>
        <w:t xml:space="preserve">Benjamin J. Bucior, Maciej Haranczyk, Seulchan Lee, Hongda Zhang,</w:t>
      </w:r>
      <w:r>
        <w:t xml:space="preserve"> </w:t>
      </w:r>
      <w:r>
        <w:t xml:space="preserve">Konstantinos D. Vogiatzis et al. </w:t>
      </w:r>
      <w:r>
        <w:t xml:space="preserve">“</w:t>
      </w:r>
      <w:r>
        <w:t xml:space="preserve">Advances, updates, and analytics for</w:t>
      </w:r>
      <w:r>
        <w:t xml:space="preserve"> </w:t>
      </w:r>
      <w:r>
        <w:t xml:space="preserve">the computation-ready, experimental metal–organic framework database:</w:t>
      </w:r>
      <w:r>
        <w:t xml:space="preserve"> </w:t>
      </w:r>
      <w:r>
        <w:t xml:space="preserve">CoRE MOF 2019.</w:t>
      </w:r>
      <w:r>
        <w:t xml:space="preserve">”</w:t>
      </w:r>
      <w:r>
        <w:t xml:space="preserve"> </w:t>
      </w:r>
      <w:r>
        <w:rPr>
          <w:i/>
          <w:iCs/>
        </w:rPr>
        <w:t xml:space="preserve">Journal of Chemical &amp; Engineering Data</w:t>
      </w:r>
      <w:r>
        <w:t xml:space="preserve"> </w:t>
      </w:r>
      <w:r>
        <w:t xml:space="preserve">64, no. 12</w:t>
      </w:r>
      <w:r>
        <w:t xml:space="preserve"> </w:t>
      </w:r>
      <w:r>
        <w:t xml:space="preserve">(2019): 5985-5998.</w:t>
      </w:r>
    </w:p>
    <w:p>
      <w:pPr>
        <w:pStyle w:val="BodyText"/>
      </w:pPr>
      <w:r>
        <w:t xml:space="preserve">[1] Equations of State</w:t>
      </w:r>
    </w:p>
    <w:p>
      <w:pPr>
        <w:pStyle w:val="BodyText"/>
      </w:pPr>
      <w:r>
        <w:t xml:space="preserve">[2] Peng Robinson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2025-08-21T17:17:44Z</dcterms:created>
  <dcterms:modified xsi:type="dcterms:W3CDTF">2025-08-21T17:17:44Z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