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t xml:space="preserve">1</w:t>
      </w:r>
      <w:r>
        <w:t xml:space="preserve">, M</w:t>
      </w:r>
      <w:r>
        <w:t xml:space="preserve">2</w:t>
      </w:r>
      <w:r>
        <w:t xml:space="preserve"> </w:t>
      </w:r>
      <w:r>
        <w:t xml:space="preserve">,M</w:t>
      </w:r>
      <w:r>
        <w:t xml:space="preserve">3</w:t>
      </w:r>
      <w:r>
        <w:t xml:space="preserve">,M</w:t>
      </w:r>
      <w:r>
        <w:t xml:space="preserve">4</w:t>
      </w:r>
      <w:r>
        <w:t xml:space="preserve">,M</w:t>
      </w:r>
      <w:r>
        <w:t xml:space="preserve">5</w:t>
      </w:r>
    </w:p>
    <w:p>
      <w:pPr>
        <w:pStyle w:val="BodyText"/>
      </w:pPr>
      <w:r>
        <w:t xml:space="preserve">1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2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3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4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5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Abstract</w:t>
      </w:r>
    </w:p>
    <w:p>
      <w:pPr>
        <w:pStyle w:val="BodyText"/>
      </w:pPr>
      <w:r>
        <w:t xml:space="preserve">The Organic Rankine Cycle (ORC) offers a promising solution for</w:t>
      </w:r>
      <w:r>
        <w:t xml:space="preserve"> </w:t>
      </w:r>
      <w:r>
        <w:t xml:space="preserve">converting low-grade heat into The Organic Rankine Cycle (ORC) is an</w:t>
      </w:r>
      <w:r>
        <w:t xml:space="preserve"> </w:t>
      </w:r>
      <w:r>
        <w:t xml:space="preserve">effective and innovative approach for converting low-grade heat into</w:t>
      </w:r>
      <w:r>
        <w:t xml:space="preserve"> </w:t>
      </w:r>
      <w:r>
        <w:t xml:space="preserve">electricity by utilizing organic fluids with suitable thermodynamic</w:t>
      </w:r>
      <w:r>
        <w:t xml:space="preserve"> </w:t>
      </w:r>
      <w:r>
        <w:t xml:space="preserve">properties. This study examines how different working fluids affect the</w:t>
      </w:r>
      <w:r>
        <w:t xml:space="preserve"> </w:t>
      </w:r>
      <w:r>
        <w:t xml:space="preserve">efficiency of the ORC across various configurations. Through a</w:t>
      </w:r>
      <w:r>
        <w:t xml:space="preserve"> </w:t>
      </w:r>
      <w:r>
        <w:t xml:space="preserve">combination of experimental testing and simulation, the research</w:t>
      </w:r>
      <w:r>
        <w:t xml:space="preserve"> </w:t>
      </w:r>
      <w:r>
        <w:t xml:space="preserve">identifies five fluids (Cyclopentane, Dichloromethane, n-Pentane, R113,</w:t>
      </w:r>
      <w:r>
        <w:t xml:space="preserve"> </w:t>
      </w:r>
      <w:r>
        <w:t xml:space="preserve">and R141b) as top performers under different operating conditions. The</w:t>
      </w:r>
      <w:r>
        <w:t xml:space="preserve"> </w:t>
      </w:r>
      <w:r>
        <w:t xml:space="preserve">findings clearly show that the choice of working fluid plays a vital</w:t>
      </w:r>
      <w:r>
        <w:t xml:space="preserve"> </w:t>
      </w:r>
      <w:r>
        <w:t xml:space="preserve">role in improving the overall performance of the ORC system.</w:t>
      </w:r>
      <w:r>
        <w:t xml:space="preserve"> </w:t>
      </w:r>
      <w:r>
        <w:t xml:space="preserve">Furthermore, this study highlights the importance of selecting the</w:t>
      </w:r>
      <w:r>
        <w:t xml:space="preserve"> </w:t>
      </w:r>
      <w:r>
        <w:t xml:space="preserve">appropriate fluid to maximize energy recovery and enhance system</w:t>
      </w:r>
      <w:r>
        <w:t xml:space="preserve"> </w:t>
      </w:r>
      <w:r>
        <w:t xml:space="preserve">reliability. The flexibility of ORC technology is emphasized,</w:t>
      </w:r>
      <w:r>
        <w:t xml:space="preserve"> </w:t>
      </w:r>
      <w:r>
        <w:t xml:space="preserve">demonstrating its potential as an efficient and adaptable solution for</w:t>
      </w:r>
      <w:r>
        <w:t xml:space="preserve"> </w:t>
      </w:r>
      <w:r>
        <w:t xml:space="preserve">reducing energy waste and optimizing resource utilization in industrial</w:t>
      </w:r>
      <w:r>
        <w:t xml:space="preserve"> </w:t>
      </w:r>
      <w:r>
        <w:t xml:space="preserve">applications. Ultimately, the results underline the significant benefits</w:t>
      </w:r>
      <w:r>
        <w:t xml:space="preserve"> </w:t>
      </w:r>
      <w:r>
        <w:t xml:space="preserve">of ORC in increasing energy efficiency and promoting sustainable energy</w:t>
      </w:r>
      <w:r>
        <w:t xml:space="preserve"> </w:t>
      </w:r>
      <w:r>
        <w:t xml:space="preserve">practices, paving the way for broader adoption of clean and</w:t>
      </w:r>
      <w:r>
        <w:t xml:space="preserve"> </w:t>
      </w:r>
      <w:r>
        <w:t xml:space="preserve">environmentally friendly power generation technologies.</w:t>
      </w:r>
    </w:p>
    <w:p>
      <w:pPr>
        <w:pStyle w:val="BodyText"/>
      </w:pPr>
      <w:r>
        <w:rPr>
          <w:i/>
          <w:iCs/>
        </w:rPr>
        <w:t xml:space="preserve">Keywords:</w:t>
      </w:r>
      <w:r>
        <w:t xml:space="preserve"> </w:t>
      </w:r>
      <w:r>
        <w:t xml:space="preserve">Rankine Cycle, GAMS, Fluid selection;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</w:t>
      </w:r>
    </w:p>
    <w:p>
      <w:pPr>
        <w:pStyle w:val="FirstParagraph"/>
      </w:pPr>
      <w:r>
        <w:t xml:space="preserve">Growing concerns over energy security and environmental sustainability</w:t>
      </w:r>
      <w:r>
        <w:t xml:space="preserve"> </w:t>
      </w:r>
      <w:r>
        <w:t xml:space="preserve">underscore the need for efficient utilization of waste-heat streams in</w:t>
      </w:r>
      <w:r>
        <w:t xml:space="preserve"> </w:t>
      </w:r>
      <w:r>
        <w:t xml:space="preserve">industrial processes. [1]A significant portion of the input energy in</w:t>
      </w:r>
      <w:r>
        <w:t xml:space="preserve"> </w:t>
      </w:r>
      <w:r>
        <w:t xml:space="preserve">production systems is dissipated to the environment as unused thermal</w:t>
      </w:r>
      <w:r>
        <w:t xml:space="preserve"> </w:t>
      </w:r>
      <w:r>
        <w:t xml:space="preserve">energy, which not only leads to substantial energy losses but also</w:t>
      </w:r>
      <w:r>
        <w:t xml:space="preserve"> </w:t>
      </w:r>
      <w:r>
        <w:t xml:space="preserve">contributes to greenhouse-gas emissions. Among emerging waste-heat</w:t>
      </w:r>
      <w:r>
        <w:t xml:space="preserve"> </w:t>
      </w:r>
      <w:r>
        <w:t xml:space="preserve">recovery technologies, the Organic Rankine Cycle (ORC) has attracted</w:t>
      </w:r>
      <w:r>
        <w:t xml:space="preserve"> </w:t>
      </w:r>
      <w:r>
        <w:t xml:space="preserve">considerable attention due to its ability to operate with low- to</w:t>
      </w:r>
      <w:r>
        <w:t xml:space="preserve"> </w:t>
      </w:r>
      <w:r>
        <w:t xml:space="preserve">medium-temperature heat sources and its flexibility in employing organic</w:t>
      </w:r>
      <w:r>
        <w:t xml:space="preserve"> </w:t>
      </w:r>
      <w:r>
        <w:t xml:space="preserve">working fluids with low boiling points. These advantages enable ORCs to</w:t>
      </w:r>
      <w:r>
        <w:t xml:space="preserve"> </w:t>
      </w:r>
      <w:r>
        <w:t xml:space="preserve">be deployed across a wide range of applications, including geothermal,</w:t>
      </w:r>
      <w:r>
        <w:t xml:space="preserve"> </w:t>
      </w:r>
      <w:r>
        <w:t xml:space="preserve">solar, biomass, and industrial waste-heat recovery.</w:t>
      </w:r>
    </w:p>
    <w:p>
      <w:pPr>
        <w:pStyle w:val="BodyText"/>
      </w:pPr>
      <w:r>
        <w:t xml:space="preserve">In recent years, research in this field has evolved from purely</w:t>
      </w:r>
      <w:r>
        <w:t xml:space="preserve"> </w:t>
      </w:r>
      <w:r>
        <w:t xml:space="preserve">thermodynamic analyses toward multi-objective optimization and hybrid</w:t>
      </w:r>
      <w:r>
        <w:t xml:space="preserve"> </w:t>
      </w:r>
      <w:r>
        <w:t xml:space="preserve">approaches. For instance, Palma-Flores et al. (2015; 2016) proposed</w:t>
      </w:r>
      <w:r>
        <w:t xml:space="preserve"> </w:t>
      </w:r>
      <w:r>
        <w:t xml:space="preserve">…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Results and Discussion</w:t>
      </w:r>
    </w:p>
    <w:p>
      <w:pPr>
        <w:pStyle w:val="FirstParagraph"/>
      </w:pPr>
      <w:r>
        <w:t xml:space="preserve">6.1 Part A – Model vs HYSYS (simple configuration)</w:t>
      </w:r>
    </w:p>
    <w:p>
      <w:pPr>
        <w:pStyle w:val="BodyText"/>
      </w:pPr>
      <w:r>
        <w:t xml:space="preserve">Table A‑1. Direct comparison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GAMS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-415.585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242.70688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Molar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1.3898043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[kgmole/s]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-90102.27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-90025.2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-96361.81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-26.9095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-122262.9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20.959427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Pressure [bar]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313.24878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</w:tbl>
    <w:p>
      <w:pPr>
        <w:pStyle w:val="BodyText"/>
      </w:pPr>
      <w:r>
        <w:t xml:space="preserve">Observation (FA): بیشتر متغیرها خطای ناچیز دارند؛ انحراف‌های Wt و H2 ناشی از فرم کار توربین (H1−H2 به‌جای H3−H4 و عدم اعمال η_turb) و جزئیات آنتالپی جریان ۲ است.</w:t>
      </w:r>
    </w:p>
    <w:p>
      <w:pPr>
        <w:pStyle w:val="BodyText"/>
      </w:pPr>
      <w:r>
        <w:t xml:space="preserve">Table A‑2. HYSYS candidates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Wp (kJ/s)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 (kJ/s)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Wnet (kJ/s)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2,2‑dimethylbutane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258.134799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6839.564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5213.5163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4‑methyl‑2‑pentene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219.5780021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6365.124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4872.8213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Benzene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92.17404287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5588.065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4378.2778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Cyclopentane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221.3920083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7617.756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5872.813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Dichloromethane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242.7068797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6716.9227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Isohexane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205.8012394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6114.503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4685.8008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Methanol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108.9162242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6929.143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5434.3979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n‑heptane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71.80336678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3557.273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2774.0151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n‑hexane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166.2908911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5674.165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4373.0408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n‑pentane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344.476657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7579.137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5718.8307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278.818838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5479.2284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R141b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362.5213291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8510.272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6445.6959</w:t>
            </w:r>
          </w:p>
        </w:tc>
      </w:tr>
    </w:tbl>
    <w:p>
      <w:pPr>
        <w:pStyle w:val="BodyText"/>
      </w:pPr>
      <w:r>
        <w:t xml:space="preserve">Conclusion (FA): سیالات با جرم مولکولی بزرگ‌تر عموماً W_net بیشتری تولید کرده‌اند؛ هم‌راستا با معیار دمای بحرانی گزارش‌شده در ادبیات.</w:t>
      </w:r>
    </w:p>
    <w:p>
      <w:pPr>
        <w:pStyle w:val="BodyText"/>
      </w:pPr>
      <w:r>
        <w:t xml:space="preserve">6.2 Part B – HYSYS outputs and GAMS status</w:t>
      </w:r>
    </w:p>
    <w:p>
      <w:pPr>
        <w:pStyle w:val="BodyText"/>
      </w:pPr>
      <w:r>
        <w:t xml:space="preserve">HYSYS table for Part B (from p.xlsx) will be placed here. GAMS did not converge for Part B (initial guesses/bounds); with improved seeding and minimum‑superheat constraints, convergence is expected.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Conclusions</w:t>
      </w:r>
    </w:p>
    <w:p>
      <w:pPr>
        <w:pStyle w:val="FirstParagraph"/>
      </w:pPr>
      <w:r>
        <w:t xml:space="preserve">References</w:t>
      </w:r>
    </w:p>
    <w:p>
      <w:pPr>
        <w:pStyle w:val="FirstParagraph"/>
      </w:pPr>
      <w:r>
        <w:t xml:space="preserve">Miller, T., et al.,</w:t>
      </w:r>
      <w:r>
        <w:t xml:space="preserve"> </w:t>
      </w:r>
      <w:r>
        <w:rPr>
          <w:i/>
          <w:iCs/>
        </w:rPr>
        <w:t xml:space="preserve">Waste Heat Utilization in Marine Energy Systems for</w:t>
      </w:r>
      <w:r>
        <w:rPr>
          <w:i/>
          <w:iCs/>
        </w:rPr>
        <w:t xml:space="preserve"> </w:t>
      </w:r>
      <w:r>
        <w:rPr>
          <w:i/>
          <w:iCs/>
        </w:rPr>
        <w:t xml:space="preserve">Enhanced Efficiency.</w:t>
      </w:r>
      <w:r>
        <w:t xml:space="preserve"> </w:t>
      </w:r>
      <w:r>
        <w:t xml:space="preserve">Energies, 2024.</w:t>
      </w:r>
      <w:r>
        <w:t xml:space="preserve"> </w:t>
      </w:r>
      <w:r>
        <w:rPr>
          <w:b/>
          <w:bCs/>
        </w:rPr>
        <w:t xml:space="preserve">17</w:t>
      </w:r>
      <w:r>
        <w:t xml:space="preserve">(22): p. 5653.Palma-Flores,</w:t>
      </w:r>
      <w:r>
        <w:t xml:space="preserve"> </w:t>
      </w:r>
      <w:r>
        <w:t xml:space="preserve">O., A. Flores-Tlacuahuac, and G. Canseco-Melchorb,</w:t>
      </w:r>
      <w:r>
        <w:t xml:space="preserve"> </w:t>
      </w:r>
      <w:r>
        <w:rPr>
          <w:i/>
          <w:iCs/>
        </w:rPr>
        <w:t xml:space="preserve">Simultaneous</w:t>
      </w:r>
      <w:r>
        <w:rPr>
          <w:i/>
          <w:iCs/>
        </w:rPr>
        <w:t xml:space="preserve"> </w:t>
      </w:r>
      <w:r>
        <w:rPr>
          <w:i/>
          <w:iCs/>
        </w:rPr>
        <w:t xml:space="preserve">molecular and process design for waste heat recovery.</w:t>
      </w:r>
      <w:r>
        <w:t xml:space="preserve"> </w:t>
      </w:r>
      <w:r>
        <w:t xml:space="preserve">Energy, 2016.</w:t>
      </w:r>
      <w:r>
        <w:t xml:space="preserve"> </w:t>
      </w:r>
      <w:r>
        <w:rPr>
          <w:b/>
          <w:bCs/>
        </w:rPr>
        <w:t xml:space="preserve">99</w:t>
      </w:r>
      <w:r>
        <w:t xml:space="preserve">: p. 32-47.Canseco Melchor, G., O. Palma Flores, and A. Flores</w:t>
      </w:r>
      <w:r>
        <w:t xml:space="preserve"> </w:t>
      </w:r>
      <w:r>
        <w:t xml:space="preserve">Tlacuahuac,</w:t>
      </w:r>
      <w:r>
        <w:t xml:space="preserve"> </w:t>
      </w:r>
      <w:r>
        <w:rPr>
          <w:i/>
          <w:iCs/>
        </w:rPr>
        <w:t xml:space="preserve">Simultaneous molecular and process design for waste heat</w:t>
      </w:r>
      <w:r>
        <w:rPr>
          <w:i/>
          <w:iCs/>
        </w:rPr>
        <w:t xml:space="preserve"> </w:t>
      </w:r>
      <w:r>
        <w:rPr>
          <w:i/>
          <w:iCs/>
        </w:rPr>
        <w:t xml:space="preserve">recovery.</w:t>
      </w:r>
      <w:r>
        <w:t xml:space="preserve"> </w:t>
      </w:r>
      <w:r>
        <w:t xml:space="preserve">2016.Oyekale, J., et al.,</w:t>
      </w:r>
      <w:r>
        <w:t xml:space="preserve"> </w:t>
      </w:r>
      <w:r>
        <w:rPr>
          <w:i/>
          <w:iCs/>
        </w:rPr>
        <w:t xml:space="preserve">Impacts of renewable energy</w:t>
      </w:r>
      <w:r>
        <w:rPr>
          <w:i/>
          <w:iCs/>
        </w:rPr>
        <w:t xml:space="preserve"> </w:t>
      </w:r>
      <w:r>
        <w:rPr>
          <w:i/>
          <w:iCs/>
        </w:rPr>
        <w:t xml:space="preserve">resources on effectiveness of grid-integrated systems: Succinct review</w:t>
      </w:r>
      <w:r>
        <w:rPr>
          <w:i/>
          <w:iCs/>
        </w:rPr>
        <w:t xml:space="preserve"> </w:t>
      </w:r>
      <w:r>
        <w:rPr>
          <w:i/>
          <w:iCs/>
        </w:rPr>
        <w:t xml:space="preserve">of current challenges and potential solution strategies.</w:t>
      </w:r>
      <w:r>
        <w:t xml:space="preserve"> </w:t>
      </w:r>
      <w:r>
        <w:t xml:space="preserve">Energies,</w:t>
      </w:r>
      <w:r>
        <w:t xml:space="preserve"> </w:t>
      </w:r>
      <w:r>
        <w:t xml:space="preserve">2020.</w:t>
      </w:r>
      <w:r>
        <w:t xml:space="preserve"> </w:t>
      </w:r>
      <w:r>
        <w:rPr>
          <w:b/>
          <w:bCs/>
        </w:rPr>
        <w:t xml:space="preserve">13</w:t>
      </w:r>
      <w:r>
        <w:t xml:space="preserve">(18): p. 4856.Zhang, S., et al.,</w:t>
      </w:r>
      <w:r>
        <w:t xml:space="preserve"> </w:t>
      </w:r>
      <w:r>
        <w:rPr>
          <w:i/>
          <w:iCs/>
        </w:rPr>
        <w:t xml:space="preserve">Thermo-economic assessment</w:t>
      </w:r>
      <w:r>
        <w:rPr>
          <w:i/>
          <w:iCs/>
        </w:rPr>
        <w:t xml:space="preserve"> </w:t>
      </w:r>
      <w:r>
        <w:rPr>
          <w:i/>
          <w:iCs/>
        </w:rPr>
        <w:t xml:space="preserve">and multi-objective optimization of organic Rankine cycle driven by</w:t>
      </w:r>
      <w:r>
        <w:rPr>
          <w:i/>
          <w:iCs/>
        </w:rPr>
        <w:t xml:space="preserve"> </w:t>
      </w:r>
      <w:r>
        <w:rPr>
          <w:i/>
          <w:iCs/>
        </w:rPr>
        <w:t xml:space="preserve">solar energy and waste heat.</w:t>
      </w:r>
      <w:r>
        <w:t xml:space="preserve"> </w:t>
      </w:r>
      <w:r>
        <w:t xml:space="preserve">Energy, 2024.</w:t>
      </w:r>
      <w:r>
        <w:t xml:space="preserve"> </w:t>
      </w:r>
      <w:r>
        <w:rPr>
          <w:b/>
          <w:bCs/>
        </w:rPr>
        <w:t xml:space="preserve">290</w:t>
      </w:r>
      <w:r>
        <w:t xml:space="preserve">: p.</w:t>
      </w:r>
      <w:r>
        <w:t xml:space="preserve"> </w:t>
      </w:r>
      <w:r>
        <w:t xml:space="preserve">130223.Damarseckin, S., et al.,</w:t>
      </w:r>
      <w:r>
        <w:t xml:space="preserve"> </w:t>
      </w:r>
      <w:r>
        <w:rPr>
          <w:i/>
          <w:iCs/>
        </w:rPr>
        <w:t xml:space="preserve">A comparative review of ORC and R-ORC</w:t>
      </w:r>
      <w:r>
        <w:rPr>
          <w:i/>
          <w:iCs/>
        </w:rPr>
        <w:t xml:space="preserve"> </w:t>
      </w:r>
      <w:r>
        <w:rPr>
          <w:i/>
          <w:iCs/>
        </w:rPr>
        <w:t xml:space="preserve">technologies in terms of energy, exergy, and economic performance.</w:t>
      </w:r>
      <w:r>
        <w:t xml:space="preserve"> </w:t>
      </w:r>
      <w:r>
        <w:t xml:space="preserve">Heliyon, 2024.</w:t>
      </w:r>
      <w:r>
        <w:t xml:space="preserve"> </w:t>
      </w:r>
      <w:r>
        <w:rPr>
          <w:b/>
          <w:bCs/>
        </w:rPr>
        <w:t xml:space="preserve">10</w:t>
      </w:r>
      <w:r>
        <w:t xml:space="preserve">(23).Chung, Yongchul G., Emmanuel Haldoupis,</w:t>
      </w:r>
      <w:r>
        <w:t xml:space="preserve"> </w:t>
      </w:r>
      <w:r>
        <w:t xml:space="preserve">Benjamin J. Bucior, Maciej Haranczyk, Seulchan Lee, Hongda Zhang,</w:t>
      </w:r>
      <w:r>
        <w:t xml:space="preserve"> </w:t>
      </w:r>
      <w:r>
        <w:t xml:space="preserve">Konstantinos D. Vogiatzis et al. </w:t>
      </w:r>
      <w:r>
        <w:t xml:space="preserve">“</w:t>
      </w:r>
      <w:r>
        <w:t xml:space="preserve">Advances, updates, and analytics for</w:t>
      </w:r>
      <w:r>
        <w:t xml:space="preserve"> </w:t>
      </w:r>
      <w:r>
        <w:t xml:space="preserve">the computation-ready, experimental metal–organic framework database:</w:t>
      </w:r>
      <w:r>
        <w:t xml:space="preserve"> </w:t>
      </w:r>
      <w:r>
        <w:t xml:space="preserve">CoRE MOF 2019.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Chemical &amp; Engineering Data</w:t>
      </w:r>
      <w:r>
        <w:t xml:space="preserve"> </w:t>
      </w:r>
      <w:r>
        <w:t xml:space="preserve">64, no. 12</w:t>
      </w:r>
      <w:r>
        <w:t xml:space="preserve"> </w:t>
      </w:r>
      <w:r>
        <w:t xml:space="preserve">(2019): 5985-5998.</w:t>
      </w:r>
    </w:p>
    <w:p>
      <w:pPr>
        <w:pStyle w:val="BodyText"/>
      </w:pPr>
      <w:r>
        <w:t xml:space="preserve">[1] Equations of State</w:t>
      </w:r>
    </w:p>
    <w:p>
      <w:pPr>
        <w:pStyle w:val="BodyText"/>
      </w:pPr>
      <w:r>
        <w:t xml:space="preserve">[2] Peng Robinson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2025-08-21T17:05:54Z</dcterms:created>
  <dcterms:modified xsi:type="dcterms:W3CDTF">2025-08-21T17:05:54Z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