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ecbcc37c486949a058a9903ed7104cb72c40f4"/>
    <w:p>
      <w:pPr>
        <w:pStyle w:val="Heading1"/>
      </w:pPr>
      <w:r>
        <w:t xml:space="preserve">Problem Statement and Problem Formulation (Equation-Oriented, PR EOS + Kamath)</w:t>
      </w:r>
    </w:p>
    <w:bookmarkStart w:id="29" w:name="problem-statement-1000-words"/>
    <w:p>
      <w:pPr>
        <w:pStyle w:val="Heading2"/>
      </w:pPr>
      <w:r>
        <w:t xml:space="preserve">Problem Statement (&lt;= 1000 words)</w:t>
      </w:r>
    </w:p>
    <w:bookmarkStart w:id="20" w:name="objective"/>
    <w:p>
      <w:pPr>
        <w:pStyle w:val="Heading3"/>
      </w:pPr>
      <w:r>
        <w:t xml:space="preserve">Objective</w:t>
      </w:r>
    </w:p>
    <w:p>
      <w:pPr>
        <w:pStyle w:val="FirstParagraph"/>
      </w:pPr>
      <w:r>
        <w:t xml:space="preserve">We aim to convert low- to medium-grade waste heat into electricity using an Organic Rankine Cycle (ORC) under industrially realistic constraints, and to formulate the optimization in an equation-oriented (EO) manner suitable for rigorous solution.</w:t>
      </w:r>
    </w:p>
    <w:bookmarkEnd w:id="20"/>
    <w:bookmarkStart w:id="21" w:name="scope-and-configurations"/>
    <w:p>
      <w:pPr>
        <w:pStyle w:val="Heading3"/>
      </w:pPr>
      <w:r>
        <w:t xml:space="preserve">Scope and configurations</w:t>
      </w:r>
    </w:p>
    <w:p>
      <w:pPr>
        <w:pStyle w:val="FirstParagraph"/>
      </w:pPr>
      <w:r>
        <w:t xml:space="preserve">A single hot-water stream is the heat source. The sink is an air-cooled condenser. Two ORC configurations are analyzed under identical boundary conditions:</w:t>
      </w:r>
    </w:p>
    <w:p>
      <w:pPr>
        <w:pStyle w:val="Compact"/>
        <w:numPr>
          <w:ilvl w:val="0"/>
          <w:numId w:val="1001"/>
        </w:numPr>
      </w:pPr>
      <w:r>
        <w:t xml:space="preserve">Configuration A (simple cycle): evaporator → turbine → condenser → pump</w:t>
      </w:r>
    </w:p>
    <w:p>
      <w:pPr>
        <w:pStyle w:val="Compact"/>
        <w:numPr>
          <w:ilvl w:val="0"/>
          <w:numId w:val="1001"/>
        </w:numPr>
      </w:pPr>
      <w:r>
        <w:t xml:space="preserve">Configuration B (recuperated cycle): the simple cycle augmented with an internal heat exchanger (recuperator) that preheats the working fluid using turbine exhaust</w:t>
      </w:r>
    </w:p>
    <w:bookmarkEnd w:id="21"/>
    <w:bookmarkStart w:id="22" w:name="given-data-nominal"/>
    <w:p>
      <w:pPr>
        <w:pStyle w:val="Heading3"/>
      </w:pPr>
      <w:r>
        <w:t xml:space="preserve">Given data (nominal)</w:t>
      </w:r>
    </w:p>
    <w:p>
      <w:pPr>
        <w:pStyle w:val="FirstParagraph"/>
      </w:pPr>
      <w:r>
        <w:t xml:space="preserve">Table 1. Source/sink and equipment data (nominal)</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Item</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Units</w:t>
            </w:r>
          </w:p>
        </w:tc>
      </w:tr>
      <w:tr>
        <w:tc>
          <w:tcPr/>
          <w:p>
            <w:pPr>
              <w:pStyle w:val="Compact"/>
              <w:jc w:val="left"/>
            </w:pPr>
            <w:r>
              <w:t xml:space="preserve">Hot-water pressure</w:t>
            </w:r>
          </w:p>
        </w:tc>
        <w:tc>
          <w:tcPr/>
          <w:p>
            <w:pPr>
              <w:pStyle w:val="Compact"/>
              <w:jc w:val="left"/>
            </w:pPr>
            <w:r>
              <w:t xml:space="preserve">P_hw</w:t>
            </w:r>
          </w:p>
        </w:tc>
        <w:tc>
          <w:tcPr/>
          <w:p>
            <w:pPr>
              <w:pStyle w:val="Compact"/>
              <w:jc w:val="left"/>
            </w:pPr>
            <w:r>
              <w:t xml:space="preserve">10</w:t>
            </w:r>
          </w:p>
        </w:tc>
        <w:tc>
          <w:tcPr/>
          <w:p>
            <w:pPr>
              <w:pStyle w:val="Compact"/>
              <w:jc w:val="left"/>
            </w:pPr>
            <w:r>
              <w:t xml:space="preserve">bara</w:t>
            </w:r>
          </w:p>
        </w:tc>
      </w:tr>
      <w:tr>
        <w:tc>
          <w:tcPr/>
          <w:p>
            <w:pPr>
              <w:pStyle w:val="Compact"/>
              <w:jc w:val="left"/>
            </w:pPr>
            <w:r>
              <w:t xml:space="preserve">Hot-water inlet temperature</w:t>
            </w:r>
          </w:p>
        </w:tc>
        <w:tc>
          <w:tcPr/>
          <w:p>
            <w:pPr>
              <w:pStyle w:val="Compact"/>
              <w:jc w:val="left"/>
            </w:pPr>
            <w:r>
              <w:t xml:space="preserve">T_hw_in</w:t>
            </w:r>
          </w:p>
        </w:tc>
        <w:tc>
          <w:tcPr/>
          <w:p>
            <w:pPr>
              <w:pStyle w:val="Compact"/>
              <w:jc w:val="left"/>
            </w:pPr>
            <w:r>
              <w:t xml:space="preserve">443.15</w:t>
            </w:r>
          </w:p>
        </w:tc>
        <w:tc>
          <w:tcPr/>
          <w:p>
            <w:pPr>
              <w:pStyle w:val="Compact"/>
              <w:jc w:val="left"/>
            </w:pPr>
            <w:r>
              <w:t xml:space="preserve">K</w:t>
            </w:r>
          </w:p>
        </w:tc>
      </w:tr>
      <w:tr>
        <w:tc>
          <w:tcPr/>
          <w:p>
            <w:pPr>
              <w:pStyle w:val="Compact"/>
              <w:jc w:val="left"/>
            </w:pPr>
            <w:r>
              <w:t xml:space="preserve">Hot-water outlet temperature</w:t>
            </w:r>
          </w:p>
        </w:tc>
        <w:tc>
          <w:tcPr/>
          <w:p>
            <w:pPr>
              <w:pStyle w:val="Compact"/>
              <w:jc w:val="left"/>
            </w:pPr>
            <w:r>
              <w:t xml:space="preserve">T_hw_out</w:t>
            </w:r>
          </w:p>
        </w:tc>
        <w:tc>
          <w:tcPr/>
          <w:p>
            <w:pPr>
              <w:pStyle w:val="Compact"/>
              <w:jc w:val="left"/>
            </w:pPr>
            <w:r>
              <w:t xml:space="preserve">343.15</w:t>
            </w:r>
          </w:p>
        </w:tc>
        <w:tc>
          <w:tcPr/>
          <w:p>
            <w:pPr>
              <w:pStyle w:val="Compact"/>
              <w:jc w:val="left"/>
            </w:pPr>
            <w:r>
              <w:t xml:space="preserve">K</w:t>
            </w:r>
          </w:p>
        </w:tc>
      </w:tr>
      <w:tr>
        <w:tc>
          <w:tcPr/>
          <w:p>
            <w:pPr>
              <w:pStyle w:val="Compact"/>
              <w:jc w:val="left"/>
            </w:pPr>
            <w:r>
              <w:t xml:space="preserve">Hot-water mass flow</w:t>
            </w:r>
          </w:p>
        </w:tc>
        <w:tc>
          <w:tcPr/>
          <w:p>
            <w:pPr>
              <w:pStyle w:val="Compact"/>
              <w:jc w:val="left"/>
            </w:pPr>
            <w:r>
              <w:t xml:space="preserve">m_hot</w:t>
            </w:r>
          </w:p>
        </w:tc>
        <w:tc>
          <w:tcPr/>
          <w:p>
            <w:pPr>
              <w:pStyle w:val="Compact"/>
              <w:jc w:val="left"/>
            </w:pPr>
            <w:r>
              <w:t xml:space="preserve">100</w:t>
            </w:r>
          </w:p>
        </w:tc>
        <w:tc>
          <w:tcPr/>
          <w:p>
            <w:pPr>
              <w:pStyle w:val="Compact"/>
              <w:jc w:val="left"/>
            </w:pPr>
            <w:r>
              <w:t xml:space="preserve">kg/s</w:t>
            </w:r>
          </w:p>
        </w:tc>
      </w:tr>
      <w:tr>
        <w:tc>
          <w:tcPr/>
          <w:p>
            <w:pPr>
              <w:pStyle w:val="Compact"/>
              <w:jc w:val="left"/>
            </w:pPr>
            <w:r>
              <w:t xml:space="preserve">Cooling air inlet temperature</w:t>
            </w:r>
          </w:p>
        </w:tc>
        <w:tc>
          <w:tcPr/>
          <w:p>
            <w:pPr>
              <w:pStyle w:val="Compact"/>
              <w:jc w:val="left"/>
            </w:pPr>
            <w:r>
              <w:t xml:space="preserve">T_air_in</w:t>
            </w:r>
          </w:p>
        </w:tc>
        <w:tc>
          <w:tcPr/>
          <w:p>
            <w:pPr>
              <w:pStyle w:val="Compact"/>
              <w:jc w:val="left"/>
            </w:pPr>
            <w:r>
              <w:t xml:space="preserve">298.15</w:t>
            </w:r>
          </w:p>
        </w:tc>
        <w:tc>
          <w:tcPr/>
          <w:p>
            <w:pPr>
              <w:pStyle w:val="Compact"/>
              <w:jc w:val="left"/>
            </w:pPr>
            <w:r>
              <w:t xml:space="preserve">K (25 °C)</w:t>
            </w:r>
          </w:p>
        </w:tc>
      </w:tr>
      <w:tr>
        <w:tc>
          <w:tcPr/>
          <w:p>
            <w:pPr>
              <w:pStyle w:val="Compact"/>
              <w:jc w:val="left"/>
            </w:pPr>
            <w:r>
              <w:t xml:space="preserve">Water heat capacity</w:t>
            </w:r>
          </w:p>
        </w:tc>
        <w:tc>
          <w:tcPr/>
          <w:p>
            <w:pPr>
              <w:pStyle w:val="Compact"/>
              <w:jc w:val="left"/>
            </w:pPr>
            <w:r>
              <w:t xml:space="preserve">Cp_water</w:t>
            </w:r>
          </w:p>
        </w:tc>
        <w:tc>
          <w:tcPr/>
          <w:p>
            <w:pPr>
              <w:pStyle w:val="Compact"/>
              <w:jc w:val="left"/>
            </w:pPr>
            <w:r>
              <w:t xml:space="preserve">4.18</w:t>
            </w:r>
          </w:p>
        </w:tc>
        <w:tc>
          <w:tcPr/>
          <w:p>
            <w:pPr>
              <w:pStyle w:val="Compact"/>
              <w:jc w:val="left"/>
            </w:pPr>
            <w:r>
              <w:t xml:space="preserve">kJ/(kg*K)</w:t>
            </w:r>
          </w:p>
        </w:tc>
      </w:tr>
      <w:tr>
        <w:tc>
          <w:tcPr/>
          <w:p>
            <w:pPr>
              <w:pStyle w:val="Compact"/>
              <w:jc w:val="left"/>
            </w:pPr>
            <w:r>
              <w:t xml:space="preserve">Condenser approach</w:t>
            </w:r>
          </w:p>
        </w:tc>
        <w:tc>
          <w:tcPr/>
          <w:p>
            <w:pPr>
              <w:pStyle w:val="Compact"/>
              <w:jc w:val="left"/>
            </w:pPr>
            <w:r>
              <w:t xml:space="preserve">dT_approach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Evaporator pinch</w:t>
            </w:r>
          </w:p>
        </w:tc>
        <w:tc>
          <w:tcPr/>
          <w:p>
            <w:pPr>
              <w:pStyle w:val="Compact"/>
              <w:jc w:val="left"/>
            </w:pPr>
            <w:r>
              <w:t xml:space="preserve">dT_pinch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Pump isentropic efficiency</w:t>
            </w:r>
          </w:p>
        </w:tc>
        <w:tc>
          <w:tcPr/>
          <w:p>
            <w:pPr>
              <w:pStyle w:val="Compact"/>
              <w:jc w:val="left"/>
            </w:pPr>
            <w:r>
              <w:t xml:space="preserve">eta_pump</w:t>
            </w:r>
          </w:p>
        </w:tc>
        <w:tc>
          <w:tcPr/>
          <w:p>
            <w:pPr>
              <w:pStyle w:val="Compact"/>
              <w:jc w:val="left"/>
            </w:pPr>
            <w:r>
              <w:t xml:space="preserve">0.75</w:t>
            </w:r>
          </w:p>
        </w:tc>
        <w:tc>
          <w:tcPr/>
          <w:p>
            <w:pPr>
              <w:pStyle w:val="Compact"/>
              <w:jc w:val="left"/>
            </w:pPr>
            <w:r>
              <w:t xml:space="preserve">-</w:t>
            </w:r>
          </w:p>
        </w:tc>
      </w:tr>
      <w:tr>
        <w:tc>
          <w:tcPr/>
          <w:p>
            <w:pPr>
              <w:pStyle w:val="Compact"/>
              <w:jc w:val="left"/>
            </w:pPr>
            <w:r>
              <w:t xml:space="preserve">Turbine isentropic efficiency</w:t>
            </w:r>
          </w:p>
        </w:tc>
        <w:tc>
          <w:tcPr/>
          <w:p>
            <w:pPr>
              <w:pStyle w:val="Compact"/>
              <w:jc w:val="left"/>
            </w:pPr>
            <w:r>
              <w:t xml:space="preserve">eta_turb</w:t>
            </w:r>
          </w:p>
        </w:tc>
        <w:tc>
          <w:tcPr/>
          <w:p>
            <w:pPr>
              <w:pStyle w:val="Compact"/>
              <w:jc w:val="left"/>
            </w:pPr>
            <w:r>
              <w:t xml:space="preserve">0.80</w:t>
            </w:r>
          </w:p>
        </w:tc>
        <w:tc>
          <w:tcPr/>
          <w:p>
            <w:pPr>
              <w:pStyle w:val="Compact"/>
              <w:jc w:val="left"/>
            </w:pPr>
            <w:r>
              <w:t xml:space="preserve">-</w:t>
            </w:r>
          </w:p>
        </w:tc>
      </w:tr>
      <w:tr>
        <w:tc>
          <w:tcPr/>
          <w:p>
            <w:pPr>
              <w:pStyle w:val="Compact"/>
              <w:jc w:val="left"/>
            </w:pPr>
            <w:r>
              <w:t xml:space="preserve">Generator efficiency</w:t>
            </w:r>
          </w:p>
        </w:tc>
        <w:tc>
          <w:tcPr/>
          <w:p>
            <w:pPr>
              <w:pStyle w:val="Compact"/>
              <w:jc w:val="left"/>
            </w:pPr>
            <w:r>
              <w:t xml:space="preserve">eta_gen</w:t>
            </w:r>
          </w:p>
        </w:tc>
        <w:tc>
          <w:tcPr/>
          <w:p>
            <w:pPr>
              <w:pStyle w:val="Compact"/>
              <w:jc w:val="left"/>
            </w:pPr>
            <w:r>
              <w:t xml:space="preserve">0.95</w:t>
            </w:r>
          </w:p>
        </w:tc>
        <w:tc>
          <w:tcPr/>
          <w:p>
            <w:pPr>
              <w:pStyle w:val="Compact"/>
              <w:jc w:val="left"/>
            </w:pPr>
            <w:r>
              <w:t xml:space="preserve">-</w:t>
            </w:r>
          </w:p>
        </w:tc>
      </w:tr>
    </w:tbl>
    <w:bookmarkEnd w:id="22"/>
    <w:bookmarkStart w:id="23" w:name="X40e2611b0f7a764bfa43e564bca2a09db4c410d"/>
    <w:p>
      <w:pPr>
        <w:pStyle w:val="Heading3"/>
      </w:pPr>
      <w:r>
        <w:t xml:space="preserve">Working‑fluid candidates and selection (pure fluids)</w:t>
      </w:r>
    </w:p>
    <w:p>
      <w:pPr>
        <w:pStyle w:val="FirstParagraph"/>
      </w:pPr>
      <w: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bookmarkEnd w:id="23"/>
    <w:bookmarkStart w:id="24" w:name="decision-levers"/>
    <w:p>
      <w:pPr>
        <w:pStyle w:val="Heading3"/>
      </w:pPr>
      <w:r>
        <w:t xml:space="preserve">Decision levers</w:t>
      </w:r>
    </w:p>
    <w:p>
      <w:pPr>
        <w:pStyle w:val="Compact"/>
        <w:numPr>
          <w:ilvl w:val="0"/>
          <w:numId w:val="1002"/>
        </w:numPr>
      </w:pPr>
      <w:r>
        <w:t xml:space="preserve">Operating variables: state temperatures T(s) and pressures P(s) at the cycle points; working‑fluid mass flow m_wf.</w:t>
      </w:r>
    </w:p>
    <w:p>
      <w:pPr>
        <w:pStyle w:val="Compact"/>
        <w:numPr>
          <w:ilvl w:val="0"/>
          <w:numId w:val="1002"/>
        </w:numPr>
      </w:pPr>
      <w:r>
        <w:t xml:space="preserve">Working‑fluid identity: chosen from the candidate set (exactly one pure fluid active).</w:t>
      </w:r>
    </w:p>
    <w:p>
      <w:pPr>
        <w:pStyle w:val="Compact"/>
        <w:numPr>
          <w:ilvl w:val="0"/>
          <w:numId w:val="1002"/>
        </w:numPr>
      </w:pPr>
      <w:r>
        <w:t xml:space="preserve">Recuperator (Configuration B): internal duty and pinch (optional extension).</w:t>
      </w:r>
    </w:p>
    <w:bookmarkEnd w:id="24"/>
    <w:bookmarkStart w:id="25" w:name="thermophysical-modeling"/>
    <w:p>
      <w:pPr>
        <w:pStyle w:val="Heading3"/>
      </w:pPr>
      <w:r>
        <w:t xml:space="preserve">Thermophysical modeling</w:t>
      </w:r>
    </w:p>
    <w:p>
      <w:pPr>
        <w:pStyle w:val="FirstParagraph"/>
      </w:pPr>
      <w: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bookmarkEnd w:id="25"/>
    <w:bookmarkStart w:id="26" w:name="assumptions"/>
    <w:p>
      <w:pPr>
        <w:pStyle w:val="Heading3"/>
      </w:pPr>
      <w:r>
        <w:t xml:space="preserve">Assumptions</w:t>
      </w:r>
    </w:p>
    <w:p>
      <w:pPr>
        <w:pStyle w:val="Compact"/>
        <w:numPr>
          <w:ilvl w:val="0"/>
          <w:numId w:val="1003"/>
        </w:numPr>
      </w:pPr>
      <w:r>
        <w:t xml:space="preserve">Steady state; negligible heat losses outside modeled exchangers; pressure drops in exchangers per Table 2; ambient conditions fixed for condenser approach.</w:t>
      </w:r>
    </w:p>
    <w:bookmarkEnd w:id="26"/>
    <w:bookmarkStart w:id="27" w:name="key-outputs"/>
    <w:p>
      <w:pPr>
        <w:pStyle w:val="Heading3"/>
      </w:pPr>
      <w:r>
        <w:t xml:space="preserve">Key outputs</w:t>
      </w:r>
    </w:p>
    <w:p>
      <w:pPr>
        <w:pStyle w:val="Compact"/>
        <w:numPr>
          <w:ilvl w:val="0"/>
          <w:numId w:val="1004"/>
        </w:numPr>
      </w:pPr>
      <w:r>
        <w:t xml:space="preserve">Net power W_net, thermal efficiency, specific work, working‑fluid mass flow, high/low pressures, state temperatures, and (for Configuration B) recuperator duty and internal pinch.</w:t>
      </w:r>
    </w:p>
    <w:bookmarkEnd w:id="27"/>
    <w:bookmarkStart w:id="28" w:name="validation-note"/>
    <w:p>
      <w:pPr>
        <w:pStyle w:val="Heading3"/>
      </w:pPr>
      <w:r>
        <w:t xml:space="preserve">Validation note</w:t>
      </w:r>
    </w:p>
    <w:p>
      <w:pPr>
        <w:pStyle w:val="FirstParagraph"/>
      </w:pPr>
      <w:r>
        <w:t xml:space="preserve">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8"/>
    <w:bookmarkEnd w:id="29"/>
    <w:bookmarkStart w:id="42" w:name="problem-formulation-1000-words"/>
    <w:p>
      <w:pPr>
        <w:pStyle w:val="Heading2"/>
      </w:pPr>
      <w:r>
        <w:t xml:space="preserve">Problem Formulation (&lt;= 1000 words)</w:t>
      </w:r>
    </w:p>
    <w:bookmarkStart w:id="30" w:name="sets-and-states"/>
    <w:p>
      <w:pPr>
        <w:pStyle w:val="Heading3"/>
      </w:pPr>
      <w:r>
        <w:t xml:space="preserve">Sets and states</w:t>
      </w:r>
    </w:p>
    <w:p>
      <w:pPr>
        <w:pStyle w:val="FirstParagraph"/>
      </w:pPr>
      <w:r>
        <w:t xml:space="preserve">We use a four-state numbering for the simple cycle:</w:t>
      </w:r>
    </w:p>
    <w:p>
      <w:pPr>
        <w:pStyle w:val="Compact"/>
        <w:numPr>
          <w:ilvl w:val="0"/>
          <w:numId w:val="1005"/>
        </w:numPr>
      </w:pPr>
      <w:r>
        <w:t xml:space="preserve">1: condenser outlet (low pressure, liquid)</w:t>
      </w:r>
    </w:p>
    <w:p>
      <w:pPr>
        <w:pStyle w:val="Compact"/>
        <w:numPr>
          <w:ilvl w:val="0"/>
          <w:numId w:val="1005"/>
        </w:numPr>
      </w:pPr>
      <w:r>
        <w:t xml:space="preserve">2: pump outlet (high pressure, liquid)</w:t>
      </w:r>
    </w:p>
    <w:p>
      <w:pPr>
        <w:pStyle w:val="Compact"/>
        <w:numPr>
          <w:ilvl w:val="0"/>
          <w:numId w:val="1005"/>
        </w:numPr>
      </w:pPr>
      <w:r>
        <w:t xml:space="preserve">3: evaporator outlet (high pressure, vapor)</w:t>
      </w:r>
    </w:p>
    <w:p>
      <w:pPr>
        <w:pStyle w:val="Compact"/>
        <w:numPr>
          <w:ilvl w:val="0"/>
          <w:numId w:val="1005"/>
        </w:numPr>
      </w:pPr>
      <w:r>
        <w:t xml:space="preserve">4: turbine outlet (low pressure, vapor)</w:t>
      </w:r>
    </w:p>
    <w:p>
      <w:pPr>
        <w:pStyle w:val="FirstParagraph"/>
      </w:pPr>
      <w:r>
        <w:t xml:space="preserve">For the recuperated cycle, we add two states:</w:t>
      </w:r>
    </w:p>
    <w:p>
      <w:pPr>
        <w:pStyle w:val="Compact"/>
        <w:numPr>
          <w:ilvl w:val="0"/>
          <w:numId w:val="1006"/>
        </w:numPr>
      </w:pPr>
      <w:r>
        <w:t xml:space="preserve">5: recuperator hot outlet (low pressure, cooled vapor)</w:t>
      </w:r>
    </w:p>
    <w:p>
      <w:pPr>
        <w:pStyle w:val="Compact"/>
        <w:numPr>
          <w:ilvl w:val="0"/>
          <w:numId w:val="1006"/>
        </w:numPr>
      </w:pPr>
      <w:r>
        <w:t xml:space="preserve">6: recuperator cold outlet (high pressure, preheated liquid)</w:t>
      </w:r>
    </w:p>
    <w:bookmarkEnd w:id="30"/>
    <w:bookmarkStart w:id="31" w:name="decision-variables"/>
    <w:p>
      <w:pPr>
        <w:pStyle w:val="Heading3"/>
      </w:pPr>
      <w:r>
        <w:t xml:space="preserve">Decision variables</w:t>
      </w:r>
    </w:p>
    <w:p>
      <w:pPr>
        <w:pStyle w:val="Compact"/>
        <w:numPr>
          <w:ilvl w:val="0"/>
          <w:numId w:val="1007"/>
        </w:numPr>
      </w:pPr>
      <w:r>
        <w:t xml:space="preserve">T(s) [K], P(s) [bar], Z(s) [-], H_ideal(s) [kJ/kg], H_dep(s) [kJ/kg], H(s) [kJ/kg]</w:t>
      </w:r>
    </w:p>
    <w:p>
      <w:pPr>
        <w:pStyle w:val="Compact"/>
        <w:numPr>
          <w:ilvl w:val="0"/>
          <w:numId w:val="1007"/>
        </w:numPr>
      </w:pPr>
      <w:r>
        <w:t xml:space="preserve">m_wf [kg/s], Q_evap [kW], Q_recup [kW], W_pump [kW], W_turb [kW], W_net [kW]</w:t>
      </w:r>
    </w:p>
    <w:p>
      <w:pPr>
        <w:pStyle w:val="Compact"/>
        <w:numPr>
          <w:ilvl w:val="0"/>
          <w:numId w:val="1007"/>
        </w:numPr>
      </w:pPr>
      <w:r>
        <w:t xml:space="preserve">Fluid selection dof: either binary indicators y_i (sum_i y_i = 1) for an integrated selection, or an external screening step that activates one pure fluid per run.</w:t>
      </w:r>
    </w:p>
    <w:bookmarkEnd w:id="31"/>
    <w:bookmarkStart w:id="32" w:name="objective-baseline"/>
    <w:p>
      <w:pPr>
        <w:pStyle w:val="Heading3"/>
      </w:pPr>
      <w:r>
        <w:t xml:space="preserve">Objective (baseline)</w:t>
      </w:r>
    </w:p>
    <w:p>
      <w:pPr>
        <w:pStyle w:val="FirstParagraph"/>
      </w:pPr>
      <w:r>
        <w:t xml:space="preserve">Maximize net power (core form):</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p>
      <w:pPr>
        <w:pStyle w:val="FirstParagraph"/>
      </w:pPr>
      <w:r>
        <w:t xml:space="preserve">If a stabilization/selection penalty is used in the implementation, the objective is written as:</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sSub>
            <m:e>
              <m:r>
                <m:t>W</m:t>
              </m:r>
            </m:e>
            <m:sub>
              <m:r>
                <m:t>t</m:t>
              </m:r>
              <m:r>
                <m:t>u</m:t>
              </m:r>
              <m:r>
                <m:t>r</m:t>
              </m:r>
              <m:r>
                <m:t>b</m:t>
              </m:r>
              <m:r>
                <m:t>i</m:t>
              </m:r>
              <m:r>
                <m:t>n</m:t>
              </m:r>
              <m:r>
                <m:t>e</m:t>
              </m:r>
            </m:sub>
          </m:sSub>
          <m:r>
            <m:t> </m:t>
          </m:r>
          <m:r>
            <m:rPr>
              <m:sty m:val="p"/>
            </m:rPr>
            <m:t>−</m:t>
          </m:r>
          <m:r>
            <m:t> </m:t>
          </m:r>
          <m:sSub>
            <m:e>
              <m:r>
                <m:t>w</m:t>
              </m:r>
            </m:e>
            <m:sub>
              <m:r>
                <m:t>p</m:t>
              </m:r>
              <m:r>
                <m:t>u</m:t>
              </m:r>
              <m:r>
                <m:t>m</m:t>
              </m:r>
              <m:r>
                <m:t>p</m:t>
              </m:r>
            </m:sub>
          </m:sSub>
          <m:r>
            <m:t> </m:t>
          </m:r>
          <m:r>
            <m:rPr>
              <m:sty m:val="p"/>
            </m:rPr>
            <m:t>−</m:t>
          </m:r>
          <m:r>
            <m:t> </m:t>
          </m:r>
          <m:r>
            <m:t>ρ</m:t>
          </m:r>
          <m:r>
            <m:t> </m:t>
          </m:r>
          <m:d>
            <m:dPr>
              <m:begChr m:val="("/>
              <m:endChr m:val=")"/>
              <m:sepChr m:val=""/>
              <m:grow/>
            </m:dPr>
            <m:e>
              <m:sSub>
                <m:e>
                  <m:r>
                    <m:t>V</m:t>
                  </m:r>
                </m:e>
                <m:sub>
                  <m:r>
                    <m:t>2</m:t>
                  </m:r>
                </m:sub>
              </m:sSub>
              <m:r>
                <m:t> </m:t>
              </m:r>
              <m:r>
                <m:t>s</m:t>
              </m:r>
              <m:sSub>
                <m:e>
                  <m:r>
                    <m:t>V</m:t>
                  </m:r>
                </m:e>
                <m:sub>
                  <m:r>
                    <m:t>2</m:t>
                  </m:r>
                </m:sub>
              </m:sSub>
              <m:r>
                <m:rPr>
                  <m:sty m:val="p"/>
                </m:rPr>
                <m:t>+</m:t>
              </m:r>
              <m:sSub>
                <m:e>
                  <m:r>
                    <m:t>L</m:t>
                  </m:r>
                </m:e>
                <m:sub>
                  <m:r>
                    <m:t>2</m:t>
                  </m:r>
                </m:sub>
              </m:sSub>
              <m:r>
                <m:t> </m:t>
              </m:r>
              <m:r>
                <m:t>s</m:t>
              </m:r>
              <m:sSub>
                <m:e>
                  <m:r>
                    <m:t>L</m:t>
                  </m:r>
                </m:e>
                <m:sub>
                  <m:r>
                    <m:t>2</m:t>
                  </m:r>
                </m:sub>
              </m:sSub>
            </m:e>
          </m:d>
          <m:r>
            <m:t> </m:t>
          </m:r>
          <m:d>
            <m:dPr>
              <m:begChr m:val="("/>
              <m:endChr m:val=")"/>
              <m:sepChr m:val=""/>
              <m:grow/>
            </m:dPr>
            <m:e>
              <m:r>
                <m:t>1</m:t>
              </m:r>
              <m:r>
                <m:rPr>
                  <m:sty m:val="p"/>
                </m:rPr>
                <m:t>′</m:t>
              </m:r>
            </m:e>
          </m:d>
        </m:oMath>
      </m:oMathPara>
    </w:p>
    <w:p>
      <w:pPr>
        <w:pStyle w:val="FirstParagraph"/>
      </w:pPr>
      <w:r>
        <w:t xml:space="preserve">where</w:t>
      </w:r>
      <w:r>
        <w:t xml:space="preserve"> </w:t>
      </w:r>
      <m:oMath>
        <m:r>
          <m:t>ρ</m:t>
        </m:r>
      </m:oMath>
      <w:r>
        <w:t xml:space="preserve"> </w:t>
      </w:r>
      <w:r>
        <w:t xml:space="preserve">is a large coefficient (Big-M–style) and</w:t>
      </w:r>
      <w:r>
        <w:t xml:space="preserve"> </w:t>
      </w:r>
      <m:oMath>
        <m:sSub>
          <m:e>
            <m:r>
              <m:t>V</m:t>
            </m:r>
          </m:e>
          <m:sub>
            <m:r>
              <m:t>2</m:t>
            </m:r>
          </m:sub>
        </m:sSub>
        <m:r>
          <m:rPr>
            <m:sty m:val="p"/>
          </m:rPr>
          <m:t>,</m:t>
        </m:r>
        <m:sSub>
          <m:e>
            <m:r>
              <m:t>L</m:t>
            </m:r>
          </m:e>
          <m:sub>
            <m:r>
              <m:t>2</m:t>
            </m:r>
          </m:sub>
        </m:sSub>
        <m:r>
          <m:rPr>
            <m:sty m:val="p"/>
          </m:rPr>
          <m:t>,</m:t>
        </m:r>
        <m:r>
          <m:t>s</m:t>
        </m:r>
        <m:sSub>
          <m:e>
            <m:r>
              <m:t>V</m:t>
            </m:r>
          </m:e>
          <m:sub>
            <m:r>
              <m:t>2</m:t>
            </m:r>
          </m:sub>
        </m:sSub>
        <m:r>
          <m:rPr>
            <m:sty m:val="p"/>
          </m:rPr>
          <m:t>,</m:t>
        </m:r>
        <m:r>
          <m:t>s</m:t>
        </m:r>
        <m:sSub>
          <m:e>
            <m:r>
              <m:t>L</m:t>
            </m:r>
          </m:e>
          <m:sub>
            <m:r>
              <m:t>2</m:t>
            </m:r>
          </m:sub>
        </m:sSub>
      </m:oMath>
      <w:r>
        <w:t xml:space="preserve"> </w:t>
      </w:r>
      <w:r>
        <w:t xml:space="preserve">are the vapor/liquid indicators at state 2 used to enforce consistent phase selection. When the penalty is inactive (recommended for reporting), equation (1) is used.</w:t>
      </w:r>
    </w:p>
    <w:bookmarkEnd w:id="32"/>
    <w:bookmarkStart w:id="33" w:name="energy-balances-and-duties"/>
    <w:p>
      <w:pPr>
        <w:pStyle w:val="Heading3"/>
      </w:pPr>
      <w:r>
        <w:t xml:space="preserve">Energy balances and duties</w:t>
      </w:r>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m:oMathPara>
        <m:oMathParaPr>
          <m:jc m:val="center"/>
        </m:oMathParaPr>
        <m:oMath>
          <m:sSub>
            <m:e>
              <m:r>
                <m:t>W</m:t>
              </m:r>
            </m:e>
            <m:sub>
              <m:r>
                <m:t>p</m:t>
              </m:r>
              <m:r>
                <m:t>u</m:t>
              </m:r>
              <m:r>
                <m:t>m</m:t>
              </m:r>
              <m:r>
                <m:t>p</m:t>
              </m:r>
            </m:sub>
          </m:sSub>
          <m:r>
            <m:rPr>
              <m:sty m:val="p"/>
            </m:rPr>
            <m:t>=</m:t>
          </m:r>
          <m:sSub>
            <m:e>
              <m:acc>
                <m:accPr>
                  <m:chr m:val="̇"/>
                </m:accPr>
                <m:e>
                  <m:r>
                    <m:t>m</m:t>
                  </m:r>
                </m:e>
              </m:acc>
            </m:e>
            <m:sub>
              <m:r>
                <m:t>w</m:t>
              </m:r>
              <m:r>
                <m:t>f</m:t>
              </m:r>
            </m:sub>
          </m:sSub>
          <m:r>
            <m:t> </m:t>
          </m:r>
          <m:d>
            <m:dPr>
              <m:begChr m:val="("/>
              <m:endChr m:val=")"/>
              <m:sepChr m:val=""/>
              <m:grow/>
            </m:dPr>
            <m:e>
              <m:sSub>
                <m:e>
                  <m:r>
                    <m:t>H</m:t>
                  </m:r>
                </m:e>
                <m:sub>
                  <m:r>
                    <m:t>2</m:t>
                  </m:r>
                </m:sub>
              </m:sSub>
              <m:r>
                <m:rPr>
                  <m:sty m:val="p"/>
                </m:rPr>
                <m:t>−</m:t>
              </m:r>
              <m:sSub>
                <m:e>
                  <m:r>
                    <m:t>H</m:t>
                  </m:r>
                </m:e>
                <m:sub>
                  <m:r>
                    <m:t>1</m:t>
                  </m:r>
                </m:sub>
              </m:sSub>
            </m:e>
          </m:d>
          <m:r>
            <m:t> </m:t>
          </m:r>
          <m:d>
            <m:dPr>
              <m:begChr m:val="("/>
              <m:endChr m:val=")"/>
              <m:sepChr m:val=""/>
              <m:grow/>
            </m:dPr>
            <m:e>
              <m:r>
                <m:t>4</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bookmarkEnd w:id="33"/>
    <w:bookmarkStart w:id="34" w:name="isentropic-relations-engineering-form"/>
    <w:p>
      <w:pPr>
        <w:pStyle w:val="Heading3"/>
      </w:pPr>
      <w:r>
        <w:t xml:space="preserve">Isentropic relations (engineering form)</w:t>
      </w:r>
    </w:p>
    <w:p>
      <w:pPr>
        <w:pStyle w:val="Compact"/>
        <w:numPr>
          <w:ilvl w:val="0"/>
          <w:numId w:val="1008"/>
        </w:numPr>
      </w:pPr>
      <w:r>
        <w:t xml:space="preserve">Turbine (3 -&gt; 4):</w:t>
      </w:r>
    </w:p>
    <w:p>
      <w:pPr>
        <w:pStyle w:val="Compac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Compact"/>
        <w:numPr>
          <w:ilvl w:val="0"/>
          <w:numId w:val="1008"/>
        </w:numPr>
      </w:pPr>
      <w:r>
        <w:t xml:space="preserve">Pump (1 -&gt; 2):</w:t>
      </w:r>
    </w:p>
    <w:p>
      <w:pPr>
        <w:pStyle w:val="Compac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Compact"/>
        <w:numPr>
          <w:ilvl w:val="0"/>
          <w:numId w:val="1008"/>
        </w:numPr>
      </w:pPr>
      <w:r>
        <w:t xml:space="preserve">Here k = cp / (cp - R_spec) and cp(T) is obtained from the derivative of H_ideal(T).</w:t>
      </w:r>
    </w:p>
    <w:p>
      <w:pPr>
        <w:pStyle w:val="Compact"/>
        <w:numPr>
          <w:ilvl w:val="0"/>
          <w:numId w:val="1008"/>
        </w:numPr>
      </w:pPr>
      <w:r>
        <w:t xml:space="preserve">Note: A full PR-based isentropic step would use s-const constraints; the above is a robust approximation that preserves units and trends without introducing additional differential relations.</w:t>
      </w:r>
    </w:p>
    <w:bookmarkEnd w:id="34"/>
    <w:bookmarkStart w:id="35" w:name="X86fbe4f86534d591b375845c257d94c8bef2f8e"/>
    <w:p>
      <w:pPr>
        <w:pStyle w:val="Heading3"/>
      </w:pPr>
      <w:r>
        <w:t xml:space="preserve">Heat-transfer and pressure-structure constraints</w:t>
      </w:r>
    </w:p>
    <w:p>
      <w:pPr>
        <w:pStyle w:val="FirstParagraph"/>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bookmarkEnd w:id="35"/>
    <w:bookmarkStart w:id="36" w:name="recuperator-constraints-configuration-b"/>
    <w:p>
      <w:pPr>
        <w:pStyle w:val="Heading3"/>
      </w:pPr>
      <w:r>
        <w:t xml:space="preserve">Recuperator constraints (Configuration B)</w:t>
      </w:r>
    </w:p>
    <w:p>
      <w:pPr>
        <w:pStyle w:val="FirstParagraph"/>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bookmarkEnd w:id="36"/>
    <w:bookmarkStart w:id="37" w:name="thermodynamics-pr-eos-and-enthalpy-model"/>
    <w:p>
      <w:pPr>
        <w:pStyle w:val="Heading3"/>
      </w:pPr>
      <w:r>
        <w:t xml:space="preserve">Thermodynamics: PR EOS and enthalpy model</w:t>
      </w:r>
    </w:p>
    <w:p>
      <w:pPr>
        <w:pStyle w:val="FirstParagraph"/>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p>
    <w:bookmarkEnd w:id="37"/>
    <w:bookmarkStart w:id="38" w:name="variable-bounds-illustrative"/>
    <w:p>
      <w:pPr>
        <w:pStyle w:val="Heading3"/>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bookmarkEnd w:id="38"/>
    <w:bookmarkStart w:id="39" w:name="optional-multi-objective-extension"/>
    <w:p>
      <w:pPr>
        <w:pStyle w:val="Heading3"/>
      </w:pPr>
      <w:r>
        <w:t xml:space="preserve">Optional multi-objective extension</w:t>
      </w:r>
    </w:p>
    <w:p>
      <w:pPr>
        <w:pStyle w:val="FirstParagraph"/>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p>
    <w:bookmarkEnd w:id="39"/>
    <w:bookmarkStart w:id="40" w:name="reporting-and-comparison"/>
    <w:p>
      <w:pPr>
        <w:pStyle w:val="Heading3"/>
      </w:pPr>
      <w:r>
        <w:t xml:space="preserve">Reporting and comparison</w:t>
      </w:r>
    </w:p>
    <w:p>
      <w:pPr>
        <w:pStyle w:val="FirstParagraph"/>
      </w:pPr>
      <w:r>
        <w:t xml:space="preserve">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bookmarkEnd w:id="40"/>
    <w:bookmarkStart w:id="41" w:name="model-specific-symbols-for-clarity"/>
    <w:p>
      <w:pPr>
        <w:pStyle w:val="Heading3"/>
      </w:pPr>
      <w:r>
        <w:t xml:space="preserve">Model-specific symbols (for clarity)</w:t>
      </w:r>
    </w:p>
    <w:p>
      <w:pPr>
        <w:pStyle w:val="Compact"/>
        <w:numPr>
          <w:ilvl w:val="0"/>
          <w:numId w:val="1009"/>
        </w:numPr>
      </w:pPr>
      <w:r>
        <w:t xml:space="preserve">component: index over pure working fluids (at least five candidates)</w:t>
      </w:r>
    </w:p>
    <w:p>
      <w:pPr>
        <w:pStyle w:val="Compact"/>
        <w:numPr>
          <w:ilvl w:val="0"/>
          <w:numId w:val="1009"/>
        </w:numPr>
      </w:pPr>
      <w:r>
        <w:t xml:space="preserve">properties: columns for Tc, Pc, omega, MW, Tb, density, h_form, h_vap (units: consistent with the enthalpy basis)</w:t>
      </w:r>
    </w:p>
    <w:p>
      <w:pPr>
        <w:pStyle w:val="Compact"/>
        <w:numPr>
          <w:ilvl w:val="0"/>
          <w:numId w:val="1009"/>
        </w:numPr>
      </w:pPr>
      <w:r>
        <w:t xml:space="preserve">coefficient: Cp(T) polynomial coefficients a..f (for H_ideal(T) integration)</w:t>
      </w:r>
    </w:p>
    <w:p>
      <w:pPr>
        <w:pStyle w:val="Compact"/>
        <w:numPr>
          <w:ilvl w:val="0"/>
          <w:numId w:val="1009"/>
        </w:numPr>
      </w:pPr>
      <w:r>
        <w:t xml:space="preserve">y(component): pure-fluid selector (sum y = 1)</w:t>
      </w:r>
    </w:p>
    <w:p>
      <w:pPr>
        <w:pStyle w:val="Compact"/>
        <w:numPr>
          <w:ilvl w:val="0"/>
          <w:numId w:val="1009"/>
        </w:numPr>
      </w:pPr>
      <w:r>
        <w:t xml:space="preserve">Selected properties: Tc, Pc, omega, MW via y-weighted sums</w:t>
      </w:r>
    </w:p>
    <w:p>
      <w:pPr>
        <w:pStyle w:val="Compact"/>
        <w:numPr>
          <w:ilvl w:val="0"/>
          <w:numId w:val="1009"/>
        </w:numPr>
      </w:pPr>
      <w:r>
        <w:t xml:space="preserve">R_spec = 8.314 / MW (kJ/kg/K); Cp per kg = Cp_kmol / MW</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2025-08-21T01:04:56Z</dcterms:created>
  <dcterms:modified xsi:type="dcterms:W3CDTF">2025-08-21T01:04:56Z</dcterms:modified>
</cp:coreProperties>
</file>

<file path=docProps/custom.xml><?xml version="1.0" encoding="utf-8"?>
<Properties xmlns="http://schemas.openxmlformats.org/officeDocument/2006/custom-properties" xmlns:vt="http://schemas.openxmlformats.org/officeDocument/2006/docPropsVTypes"/>
</file>