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3C" w:rsidRDefault="005A5267">
      <w:r>
        <w:rPr>
          <w:noProof/>
        </w:rPr>
        <w:drawing>
          <wp:inline distT="0" distB="0" distL="0" distR="0">
            <wp:extent cx="5274310" cy="13754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67" w:rsidRDefault="005A5267" w:rsidP="005A5267">
      <w:pPr>
        <w:ind w:firstLine="420"/>
      </w:pPr>
      <w:r>
        <w:t xml:space="preserve">Prior highly-tuned human parsing models tend to </w:t>
      </w:r>
      <w:r w:rsidRPr="005A5267">
        <w:rPr>
          <w:color w:val="FF0000"/>
        </w:rPr>
        <w:t>fit</w:t>
      </w:r>
      <w:r>
        <w:t xml:space="preserve"> towards</w:t>
      </w:r>
      <w:r>
        <w:t xml:space="preserve"> </w:t>
      </w:r>
      <w:r>
        <w:t xml:space="preserve">each dataset in a </w:t>
      </w:r>
      <w:r w:rsidRPr="005A5267">
        <w:rPr>
          <w:color w:val="FF0000"/>
        </w:rPr>
        <w:t>specific domain</w:t>
      </w:r>
      <w:r>
        <w:t xml:space="preserve"> or with discrepant</w:t>
      </w:r>
      <w:r>
        <w:t xml:space="preserve"> </w:t>
      </w:r>
      <w:r>
        <w:t xml:space="preserve">label </w:t>
      </w:r>
      <w:r w:rsidRPr="005A5267">
        <w:rPr>
          <w:color w:val="FF0000"/>
        </w:rPr>
        <w:t>granularity</w:t>
      </w:r>
      <w:r>
        <w:t>, and can hardly be adapted to other human</w:t>
      </w:r>
      <w:r>
        <w:t xml:space="preserve"> </w:t>
      </w:r>
      <w:r>
        <w:t xml:space="preserve">parsing tasks without extensive re-training. </w:t>
      </w:r>
    </w:p>
    <w:p w:rsidR="005A5267" w:rsidRDefault="005A5267" w:rsidP="005A5267">
      <w:pPr>
        <w:ind w:firstLine="420"/>
        <w:rPr>
          <w:rFonts w:hint="eastAsia"/>
        </w:rPr>
      </w:pPr>
      <w:r>
        <w:rPr>
          <w:rFonts w:hint="eastAsia"/>
        </w:rPr>
        <w:t>现有方法限于特定领域 或 颗粒度，</w:t>
      </w:r>
      <w:proofErr w:type="gramStart"/>
      <w:r>
        <w:rPr>
          <w:rFonts w:hint="eastAsia"/>
        </w:rPr>
        <w:t>难用于</w:t>
      </w:r>
      <w:proofErr w:type="gramEnd"/>
      <w:r>
        <w:rPr>
          <w:rFonts w:hint="eastAsia"/>
        </w:rPr>
        <w:t>其他</w:t>
      </w:r>
      <w:r>
        <w:t>……</w:t>
      </w:r>
    </w:p>
    <w:p w:rsidR="005A5267" w:rsidRDefault="005A5267" w:rsidP="005A5267">
      <w:pPr>
        <w:ind w:firstLine="420"/>
        <w:jc w:val="center"/>
      </w:pPr>
      <w:r>
        <w:rPr>
          <w:noProof/>
        </w:rPr>
        <w:drawing>
          <wp:inline distT="0" distB="0" distL="0" distR="0">
            <wp:extent cx="3354779" cy="324413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788" cy="3248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267" w:rsidRDefault="005A5267" w:rsidP="005A5267">
      <w:pPr>
        <w:ind w:firstLine="420"/>
      </w:pPr>
      <w:r>
        <w:t>In this</w:t>
      </w:r>
      <w:r>
        <w:t xml:space="preserve"> </w:t>
      </w:r>
      <w:r>
        <w:t xml:space="preserve">paper, we aim to learn a </w:t>
      </w:r>
      <w:r w:rsidRPr="005A5267">
        <w:rPr>
          <w:color w:val="FF0000"/>
        </w:rPr>
        <w:t>single universal</w:t>
      </w:r>
      <w:r>
        <w:t xml:space="preserve"> human parsing</w:t>
      </w:r>
      <w:r>
        <w:t xml:space="preserve"> </w:t>
      </w:r>
      <w:r>
        <w:t>model that can tackle all kinds of human parsing needs</w:t>
      </w:r>
      <w:r>
        <w:t xml:space="preserve"> by</w:t>
      </w:r>
    </w:p>
    <w:p w:rsidR="005A5267" w:rsidRDefault="005A5267" w:rsidP="005A5267">
      <w:pPr>
        <w:ind w:firstLine="420"/>
      </w:pPr>
      <w:proofErr w:type="gramStart"/>
      <w:r w:rsidRPr="005A5267">
        <w:rPr>
          <w:b/>
          <w:color w:val="FF0000"/>
        </w:rPr>
        <w:t>unifying</w:t>
      </w:r>
      <w:proofErr w:type="gramEnd"/>
      <w:r w:rsidRPr="005A5267">
        <w:rPr>
          <w:b/>
          <w:color w:val="FF0000"/>
        </w:rPr>
        <w:t xml:space="preserve"> label annotations</w:t>
      </w:r>
      <w:r>
        <w:t xml:space="preserve"> from</w:t>
      </w:r>
      <w:r w:rsidRPr="005A5267">
        <w:rPr>
          <w:color w:val="FF0000"/>
        </w:rPr>
        <w:t xml:space="preserve"> different domains</w:t>
      </w:r>
      <w:r>
        <w:t xml:space="preserve"> or at</w:t>
      </w:r>
      <w:r>
        <w:t xml:space="preserve"> </w:t>
      </w:r>
      <w:r w:rsidRPr="005A5267">
        <w:rPr>
          <w:color w:val="FF0000"/>
        </w:rPr>
        <w:t>various</w:t>
      </w:r>
      <w:r>
        <w:t xml:space="preserve"> levels of </w:t>
      </w:r>
      <w:r w:rsidRPr="005A5267">
        <w:rPr>
          <w:color w:val="FF0000"/>
        </w:rPr>
        <w:t>granularity</w:t>
      </w:r>
      <w:r>
        <w:t xml:space="preserve">. </w:t>
      </w:r>
    </w:p>
    <w:p w:rsidR="005A5267" w:rsidRDefault="005A5267" w:rsidP="005A5267">
      <w:pPr>
        <w:ind w:firstLine="420"/>
      </w:pPr>
      <w:r>
        <w:rPr>
          <w:rFonts w:hint="eastAsia"/>
        </w:rPr>
        <w:t>通过统一标注（不同领域，不同颗粒度），学出一个通用模型</w:t>
      </w:r>
    </w:p>
    <w:p w:rsidR="005A5267" w:rsidRPr="005A5267" w:rsidRDefault="005A5267" w:rsidP="005A5267">
      <w:pPr>
        <w:ind w:firstLine="420"/>
        <w:rPr>
          <w:rFonts w:hint="eastAsia"/>
        </w:rPr>
      </w:pPr>
    </w:p>
    <w:p w:rsidR="005A5267" w:rsidRDefault="005A5267" w:rsidP="005A5267">
      <w:pPr>
        <w:ind w:firstLine="420"/>
      </w:pPr>
      <w:r>
        <w:rPr>
          <w:rFonts w:hint="eastAsia"/>
        </w:rPr>
        <w:t>【挑战】</w:t>
      </w:r>
      <w:r>
        <w:t>This poses many fundamental</w:t>
      </w:r>
      <w:r>
        <w:t xml:space="preserve"> </w:t>
      </w:r>
      <w:r>
        <w:t>learning challenges, e.</w:t>
      </w:r>
      <w:proofErr w:type="gramStart"/>
      <w:r>
        <w:t>g</w:t>
      </w:r>
      <w:proofErr w:type="gramEnd"/>
      <w:r>
        <w:t>. discovering underlying semantic</w:t>
      </w:r>
      <w:r>
        <w:t xml:space="preserve"> </w:t>
      </w:r>
      <w:r>
        <w:t>structures among different label granularity, performing</w:t>
      </w:r>
      <w:r>
        <w:t xml:space="preserve"> </w:t>
      </w:r>
      <w:r>
        <w:t>proper transfer learning across different image domains,</w:t>
      </w:r>
      <w:r>
        <w:t xml:space="preserve"> </w:t>
      </w:r>
      <w:r>
        <w:t>and identifying and utilizing label redundancies across related</w:t>
      </w:r>
      <w:r>
        <w:t xml:space="preserve"> </w:t>
      </w:r>
      <w:r>
        <w:t>tasks.</w:t>
      </w:r>
    </w:p>
    <w:p w:rsidR="005A5267" w:rsidRDefault="005A5267" w:rsidP="005A5267">
      <w:pPr>
        <w:ind w:firstLine="420"/>
      </w:pPr>
      <w:r>
        <w:rPr>
          <w:rFonts w:hint="eastAsia"/>
        </w:rPr>
        <w:t>【</w:t>
      </w:r>
      <w:r w:rsidR="004B432D">
        <w:rPr>
          <w:rFonts w:hint="eastAsia"/>
        </w:rPr>
        <w:t>Idea</w:t>
      </w:r>
      <w:r>
        <w:rPr>
          <w:rFonts w:hint="eastAsia"/>
        </w:rPr>
        <w:t>】</w:t>
      </w:r>
      <w:r>
        <w:t>To address these challenges, we propose a new universal</w:t>
      </w:r>
      <w:r>
        <w:t xml:space="preserve"> </w:t>
      </w:r>
      <w:r>
        <w:t xml:space="preserve">human </w:t>
      </w:r>
      <w:r w:rsidRPr="005A5267">
        <w:rPr>
          <w:color w:val="FF0000"/>
        </w:rPr>
        <w:t>parsing agent</w:t>
      </w:r>
      <w:r>
        <w:t>, named “</w:t>
      </w:r>
      <w:proofErr w:type="spellStart"/>
      <w:r w:rsidRPr="005A5267">
        <w:rPr>
          <w:color w:val="FF0000"/>
        </w:rPr>
        <w:t>Graphonomy</w:t>
      </w:r>
      <w:proofErr w:type="spellEnd"/>
      <w:r>
        <w:t>”, which incorporates</w:t>
      </w:r>
      <w:r>
        <w:t xml:space="preserve"> </w:t>
      </w:r>
      <w:r>
        <w:t>hierarchical graph transfer learning upon the</w:t>
      </w:r>
      <w:r>
        <w:t xml:space="preserve"> </w:t>
      </w:r>
      <w:r>
        <w:t xml:space="preserve">conventional parsing network to </w:t>
      </w:r>
    </w:p>
    <w:p w:rsidR="004B432D" w:rsidRDefault="004B432D" w:rsidP="005A5267">
      <w:pPr>
        <w:ind w:firstLine="420"/>
      </w:pPr>
      <w:r w:rsidRPr="004B432D">
        <w:rPr>
          <w:rFonts w:hint="eastAsia"/>
          <w:color w:val="00B0F0"/>
        </w:rPr>
        <w:t>提出</w:t>
      </w:r>
      <w:proofErr w:type="spellStart"/>
      <w:r w:rsidRPr="004B432D">
        <w:rPr>
          <w:color w:val="00B0F0"/>
        </w:rPr>
        <w:t>Graphonomy</w:t>
      </w:r>
      <w:proofErr w:type="spellEnd"/>
      <w:r w:rsidRPr="004B432D">
        <w:rPr>
          <w:rFonts w:hint="eastAsia"/>
          <w:color w:val="00B0F0"/>
        </w:rPr>
        <w:t>代理，将 体系图</w:t>
      </w:r>
      <w:r>
        <w:rPr>
          <w:rFonts w:hint="eastAsia"/>
          <w:color w:val="00B0F0"/>
        </w:rPr>
        <w:t>迁移学习</w:t>
      </w:r>
      <w:r w:rsidRPr="004B432D">
        <w:rPr>
          <w:color w:val="00B0F0"/>
        </w:rPr>
        <w:t xml:space="preserve"> </w:t>
      </w:r>
      <w:r w:rsidRPr="004B432D">
        <w:rPr>
          <w:rFonts w:hint="eastAsia"/>
          <w:color w:val="00B0F0"/>
        </w:rPr>
        <w:t>用于</w:t>
      </w:r>
      <w:r w:rsidR="008D169B">
        <w:rPr>
          <w:rFonts w:hint="eastAsia"/>
          <w:color w:val="00B0F0"/>
        </w:rPr>
        <w:t>改善</w:t>
      </w:r>
      <w:r w:rsidRPr="004B432D">
        <w:rPr>
          <w:rFonts w:hint="eastAsia"/>
          <w:color w:val="00B0F0"/>
        </w:rPr>
        <w:t xml:space="preserve"> 图parsing</w:t>
      </w:r>
      <w:r>
        <w:rPr>
          <w:rFonts w:hint="eastAsia"/>
          <w:color w:val="00B0F0"/>
        </w:rPr>
        <w:t>，</w:t>
      </w:r>
      <w:r w:rsidR="008D169B">
        <w:rPr>
          <w:rFonts w:hint="eastAsia"/>
          <w:color w:val="00B0F0"/>
        </w:rPr>
        <w:t>包括</w:t>
      </w:r>
      <w:bookmarkStart w:id="0" w:name="_GoBack"/>
      <w:bookmarkEnd w:id="0"/>
      <w:r>
        <w:rPr>
          <w:rFonts w:hint="eastAsia"/>
          <w:color w:val="00B0F0"/>
        </w:rPr>
        <w:t>：</w:t>
      </w:r>
    </w:p>
    <w:p w:rsidR="005A5267" w:rsidRDefault="005A5267" w:rsidP="005A5267">
      <w:pPr>
        <w:ind w:firstLine="420"/>
      </w:pPr>
      <w:r>
        <w:t>encode the underlying label</w:t>
      </w:r>
      <w:r>
        <w:t xml:space="preserve"> </w:t>
      </w:r>
      <w:r>
        <w:t xml:space="preserve">semantic structures and </w:t>
      </w:r>
      <w:r w:rsidRPr="005A5267">
        <w:rPr>
          <w:rFonts w:hint="eastAsia"/>
          <w:color w:val="00B0F0"/>
        </w:rPr>
        <w:t>底层标签语义结构编码</w:t>
      </w:r>
    </w:p>
    <w:p w:rsidR="005A5267" w:rsidRDefault="005A5267" w:rsidP="005A5267">
      <w:pPr>
        <w:ind w:firstLine="420"/>
      </w:pPr>
      <w:proofErr w:type="gramStart"/>
      <w:r>
        <w:t>propagate</w:t>
      </w:r>
      <w:proofErr w:type="gramEnd"/>
      <w:r>
        <w:t xml:space="preserve"> relevant semantic</w:t>
      </w:r>
      <w:r>
        <w:t xml:space="preserve"> </w:t>
      </w:r>
      <w:r>
        <w:t xml:space="preserve">information. </w:t>
      </w:r>
      <w:r w:rsidRPr="005A5267">
        <w:rPr>
          <w:rFonts w:hint="eastAsia"/>
          <w:color w:val="00B0F0"/>
        </w:rPr>
        <w:t>相关语义信息传播</w:t>
      </w:r>
    </w:p>
    <w:p w:rsidR="005A5267" w:rsidRDefault="004B432D" w:rsidP="004B432D">
      <w:r>
        <w:rPr>
          <w:rFonts w:hint="eastAsia"/>
          <w:noProof/>
        </w:rPr>
        <w:lastRenderedPageBreak/>
        <w:drawing>
          <wp:inline distT="0" distB="0" distL="0" distR="0">
            <wp:extent cx="5266690" cy="160909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60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432D" w:rsidRDefault="004B432D" w:rsidP="004B432D">
      <w:pPr>
        <w:autoSpaceDE w:val="0"/>
        <w:autoSpaceDN w:val="0"/>
        <w:adjustRightInd w:val="0"/>
        <w:snapToGrid w:val="0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Figure 2. Illustration of our </w:t>
      </w:r>
      <w:proofErr w:type="spellStart"/>
      <w:r>
        <w:rPr>
          <w:rFonts w:ascii="NimbusRomNo9L-Regu" w:hAnsi="NimbusRomNo9L-Regu" w:cs="NimbusRomNo9L-Regu"/>
          <w:kern w:val="0"/>
          <w:sz w:val="18"/>
          <w:szCs w:val="18"/>
        </w:rPr>
        <w:t>Graphonomy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that tackles universal human parsing via graph transfer learning to achieve multiple levels of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human parsing tasks and better annotation utilization.</w:t>
      </w:r>
    </w:p>
    <w:p w:rsidR="004B432D" w:rsidRDefault="004B432D" w:rsidP="004B432D">
      <w:pPr>
        <w:autoSpaceDE w:val="0"/>
        <w:autoSpaceDN w:val="0"/>
        <w:adjustRightInd w:val="0"/>
        <w:snapToGrid w:val="0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【流程】</w:t>
      </w:r>
    </w:p>
    <w:p w:rsidR="008D169B" w:rsidRDefault="004B432D" w:rsidP="004B432D">
      <w:pPr>
        <w:autoSpaceDE w:val="0"/>
        <w:autoSpaceDN w:val="0"/>
        <w:adjustRightInd w:val="0"/>
        <w:snapToGrid w:val="0"/>
        <w:ind w:leftChars="337" w:left="708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a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</w:t>
      </w:r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图像特征，表示为图，节点、</w:t>
      </w:r>
      <w:proofErr w:type="gramStart"/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边表示</w:t>
      </w:r>
      <w:proofErr w:type="gramEnd"/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身体结构</w:t>
      </w:r>
    </w:p>
    <w:p w:rsidR="004B432D" w:rsidRDefault="004B432D" w:rsidP="008D169B">
      <w:pPr>
        <w:autoSpaceDE w:val="0"/>
        <w:autoSpaceDN w:val="0"/>
        <w:adjustRightInd w:val="0"/>
        <w:snapToGrid w:val="0"/>
        <w:ind w:leftChars="337" w:left="708" w:firstLine="132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 xml:space="preserve">The image features extracted by deep convolutional networks </w:t>
      </w:r>
      <w:r w:rsidRPr="004B432D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are projected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into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a high-level graph representation with </w:t>
      </w:r>
      <w:r w:rsidRPr="004B432D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semantic nodes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and edges defined according to the body structure. </w:t>
      </w:r>
    </w:p>
    <w:p w:rsidR="008D169B" w:rsidRDefault="004B432D" w:rsidP="004B432D">
      <w:pPr>
        <w:autoSpaceDE w:val="0"/>
        <w:autoSpaceDN w:val="0"/>
        <w:adjustRightInd w:val="0"/>
        <w:snapToGrid w:val="0"/>
        <w:ind w:leftChars="337" w:left="708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b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</w:t>
      </w:r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全局扩散，不同图之间的推理</w:t>
      </w:r>
    </w:p>
    <w:p w:rsidR="004B432D" w:rsidRDefault="004B432D" w:rsidP="008D169B">
      <w:pPr>
        <w:autoSpaceDE w:val="0"/>
        <w:autoSpaceDN w:val="0"/>
        <w:adjustRightInd w:val="0"/>
        <w:snapToGrid w:val="0"/>
        <w:ind w:leftChars="337" w:left="708" w:firstLine="132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The global information is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propagated via </w:t>
      </w:r>
      <w:r w:rsidRPr="004B432D">
        <w:rPr>
          <w:rFonts w:ascii="NimbusRomNo9L-Regu" w:hAnsi="NimbusRomNo9L-Regu" w:cs="NimbusRomNo9L-Regu"/>
          <w:color w:val="FF0000"/>
          <w:kern w:val="0"/>
          <w:sz w:val="18"/>
          <w:szCs w:val="18"/>
        </w:rPr>
        <w:t>Intra-Graph Reasoning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and re-projected to enhance the discriminability of visual features. </w:t>
      </w:r>
    </w:p>
    <w:p w:rsidR="008D169B" w:rsidRDefault="004B432D" w:rsidP="004B432D">
      <w:pPr>
        <w:autoSpaceDE w:val="0"/>
        <w:autoSpaceDN w:val="0"/>
        <w:adjustRightInd w:val="0"/>
        <w:snapToGrid w:val="0"/>
        <w:ind w:leftChars="337" w:left="708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 w:hint="eastAsia"/>
          <w:kern w:val="0"/>
          <w:sz w:val="18"/>
          <w:szCs w:val="18"/>
        </w:rPr>
        <w:t>c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）</w:t>
      </w:r>
      <w:proofErr w:type="gramStart"/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图间迁移</w:t>
      </w:r>
      <w:proofErr w:type="gramEnd"/>
      <w:r w:rsidR="008D169B" w:rsidRPr="008D169B">
        <w:rPr>
          <w:rFonts w:ascii="NimbusRomNo9L-Regu" w:hAnsi="NimbusRomNo9L-Regu" w:cs="NimbusRomNo9L-Regu" w:hint="eastAsia"/>
          <w:color w:val="5B9BD5" w:themeColor="accent1"/>
          <w:kern w:val="0"/>
          <w:sz w:val="18"/>
          <w:szCs w:val="18"/>
        </w:rPr>
        <w:t>、融合（实为矩阵转换）</w:t>
      </w:r>
    </w:p>
    <w:p w:rsidR="004B432D" w:rsidRDefault="004B432D" w:rsidP="008D169B">
      <w:pPr>
        <w:autoSpaceDE w:val="0"/>
        <w:autoSpaceDN w:val="0"/>
        <w:adjustRightInd w:val="0"/>
        <w:snapToGrid w:val="0"/>
        <w:ind w:leftChars="337" w:left="708" w:firstLine="132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kern w:val="0"/>
          <w:sz w:val="18"/>
          <w:szCs w:val="18"/>
        </w:rPr>
        <w:t>Further, we transfer and fuse the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>semantic graph representations via Inter-Graph Transfer driven by hierarchical label correlation to alleviate the label discrepancy across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different datasets. </w:t>
      </w:r>
    </w:p>
    <w:p w:rsidR="008D169B" w:rsidRDefault="008D169B" w:rsidP="008D169B">
      <w:pPr>
        <w:autoSpaceDE w:val="0"/>
        <w:autoSpaceDN w:val="0"/>
        <w:adjustRightInd w:val="0"/>
        <w:snapToGrid w:val="0"/>
        <w:ind w:leftChars="337" w:left="708" w:firstLine="132"/>
        <w:jc w:val="center"/>
        <w:rPr>
          <w:rFonts w:ascii="NimbusRomNo9L-Regu" w:hAnsi="NimbusRomNo9L-Regu" w:cs="NimbusRomNo9L-Regu"/>
          <w:kern w:val="0"/>
          <w:sz w:val="18"/>
          <w:szCs w:val="18"/>
        </w:rPr>
      </w:pPr>
      <w:r>
        <w:rPr>
          <w:rFonts w:ascii="NimbusRomNo9L-Regu" w:hAnsi="NimbusRomNo9L-Regu" w:cs="NimbusRomNo9L-Regu"/>
          <w:noProof/>
          <w:kern w:val="0"/>
          <w:sz w:val="18"/>
          <w:szCs w:val="18"/>
        </w:rPr>
        <w:drawing>
          <wp:inline distT="0" distB="0" distL="0" distR="0">
            <wp:extent cx="2238498" cy="21447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572" cy="218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169B" w:rsidRDefault="008D169B" w:rsidP="008D169B">
      <w:pPr>
        <w:autoSpaceDE w:val="0"/>
        <w:autoSpaceDN w:val="0"/>
        <w:adjustRightInd w:val="0"/>
        <w:snapToGrid w:val="0"/>
        <w:ind w:leftChars="337" w:left="708" w:firstLine="132"/>
        <w:jc w:val="center"/>
        <w:rPr>
          <w:rFonts w:ascii="NimbusRomNo9L-Regu" w:hAnsi="NimbusRomNo9L-Regu" w:cs="NimbusRomNo9L-Regu" w:hint="eastAsia"/>
          <w:kern w:val="0"/>
          <w:sz w:val="18"/>
          <w:szCs w:val="18"/>
        </w:rPr>
      </w:pPr>
      <w:proofErr w:type="spellStart"/>
      <w:r>
        <w:rPr>
          <w:rFonts w:ascii="NimbusRomNo9L-Regu" w:hAnsi="NimbusRomNo9L-Regu" w:cs="NimbusRomNo9L-Regu" w:hint="eastAsia"/>
          <w:kern w:val="0"/>
          <w:sz w:val="18"/>
          <w:szCs w:val="18"/>
        </w:rPr>
        <w:t>Zs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proofErr w:type="gramStart"/>
      <w:r>
        <w:rPr>
          <w:rFonts w:ascii="NimbusRomNo9L-Regu" w:hAnsi="NimbusRomNo9L-Regu" w:cs="NimbusRomNo9L-Regu" w:hint="eastAsia"/>
          <w:kern w:val="0"/>
          <w:sz w:val="18"/>
          <w:szCs w:val="18"/>
        </w:rPr>
        <w:t>源图矩阵</w:t>
      </w:r>
      <w:proofErr w:type="gramEnd"/>
      <w:r>
        <w:rPr>
          <w:rFonts w:ascii="NimbusRomNo9L-Regu" w:hAnsi="NimbusRomNo9L-Regu" w:cs="NimbusRomNo9L-Regu" w:hint="eastAsia"/>
          <w:kern w:val="0"/>
          <w:sz w:val="18"/>
          <w:szCs w:val="18"/>
        </w:rPr>
        <w:t>，</w:t>
      </w:r>
      <w:proofErr w:type="spellStart"/>
      <w:r>
        <w:rPr>
          <w:rFonts w:ascii="NimbusRomNo9L-Regu" w:hAnsi="NimbusRomNo9L-Regu" w:cs="NimbusRomNo9L-Regu" w:hint="eastAsia"/>
          <w:kern w:val="0"/>
          <w:sz w:val="18"/>
          <w:szCs w:val="18"/>
        </w:rPr>
        <w:t>Zt</w:t>
      </w:r>
      <w:proofErr w:type="spellEnd"/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目标图矩阵，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W</w:t>
      </w:r>
      <w:r>
        <w:rPr>
          <w:rFonts w:ascii="NimbusRomNo9L-Regu" w:hAnsi="NimbusRomNo9L-Regu" w:cs="NimbusRomNo9L-Regu"/>
          <w:kern w:val="0"/>
          <w:sz w:val="18"/>
          <w:szCs w:val="18"/>
        </w:rPr>
        <w:t xml:space="preserve"> </w:t>
      </w:r>
      <w:r>
        <w:rPr>
          <w:rFonts w:ascii="NimbusRomNo9L-Regu" w:hAnsi="NimbusRomNo9L-Regu" w:cs="NimbusRomNo9L-Regu" w:hint="eastAsia"/>
          <w:kern w:val="0"/>
          <w:sz w:val="18"/>
          <w:szCs w:val="18"/>
        </w:rPr>
        <w:t>待训练的权重矩阵</w:t>
      </w:r>
    </w:p>
    <w:p w:rsidR="008D169B" w:rsidRDefault="008D169B" w:rsidP="008D169B">
      <w:pPr>
        <w:autoSpaceDE w:val="0"/>
        <w:autoSpaceDN w:val="0"/>
        <w:adjustRightInd w:val="0"/>
        <w:snapToGrid w:val="0"/>
        <w:ind w:leftChars="337" w:left="708" w:firstLine="132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8D169B" w:rsidRDefault="008D169B" w:rsidP="008D169B">
      <w:pPr>
        <w:autoSpaceDE w:val="0"/>
        <w:autoSpaceDN w:val="0"/>
        <w:adjustRightInd w:val="0"/>
        <w:snapToGrid w:val="0"/>
        <w:ind w:leftChars="337" w:left="708" w:firstLine="132"/>
        <w:jc w:val="left"/>
        <w:rPr>
          <w:rFonts w:ascii="NimbusRomNo9L-Regu" w:hAnsi="NimbusRomNo9L-Regu" w:cs="NimbusRomNo9L-Regu"/>
          <w:kern w:val="0"/>
          <w:sz w:val="18"/>
          <w:szCs w:val="18"/>
        </w:rPr>
      </w:pPr>
    </w:p>
    <w:p w:rsidR="004B432D" w:rsidRPr="004B432D" w:rsidRDefault="004B432D" w:rsidP="004B432D">
      <w:pPr>
        <w:autoSpaceDE w:val="0"/>
        <w:autoSpaceDN w:val="0"/>
        <w:adjustRightInd w:val="0"/>
        <w:snapToGrid w:val="0"/>
        <w:jc w:val="left"/>
        <w:rPr>
          <w:rFonts w:hint="eastAsia"/>
          <w:sz w:val="16"/>
        </w:rPr>
      </w:pPr>
      <w:r w:rsidRPr="004B432D">
        <w:rPr>
          <w:rFonts w:ascii="NimbusRomNo9L-Regu" w:hAnsi="NimbusRomNo9L-Regu" w:cs="NimbusRomNo9L-Regu"/>
          <w:kern w:val="0"/>
          <w:sz w:val="13"/>
          <w:szCs w:val="18"/>
        </w:rPr>
        <w:t xml:space="preserve">During training, our </w:t>
      </w:r>
      <w:proofErr w:type="spellStart"/>
      <w:r w:rsidRPr="004B432D">
        <w:rPr>
          <w:rFonts w:ascii="NimbusRomNo9L-Regu" w:hAnsi="NimbusRomNo9L-Regu" w:cs="NimbusRomNo9L-Regu"/>
          <w:kern w:val="0"/>
          <w:sz w:val="13"/>
          <w:szCs w:val="18"/>
        </w:rPr>
        <w:t>Graphonomy</w:t>
      </w:r>
      <w:proofErr w:type="spellEnd"/>
      <w:r w:rsidRPr="004B432D">
        <w:rPr>
          <w:rFonts w:ascii="NimbusRomNo9L-Regu" w:hAnsi="NimbusRomNo9L-Regu" w:cs="NimbusRomNo9L-Regu"/>
          <w:kern w:val="0"/>
          <w:sz w:val="13"/>
          <w:szCs w:val="18"/>
        </w:rPr>
        <w:t xml:space="preserve"> takes advantage of annotated data with different granularity. For inference, our</w:t>
      </w:r>
      <w:r w:rsidRPr="004B432D">
        <w:rPr>
          <w:rFonts w:ascii="NimbusRomNo9L-Regu" w:hAnsi="NimbusRomNo9L-Regu" w:cs="NimbusRomNo9L-Regu"/>
          <w:kern w:val="0"/>
          <w:sz w:val="13"/>
          <w:szCs w:val="18"/>
        </w:rPr>
        <w:t xml:space="preserve"> </w:t>
      </w:r>
      <w:r w:rsidRPr="004B432D">
        <w:rPr>
          <w:rFonts w:ascii="NimbusRomNo9L-Regu" w:hAnsi="NimbusRomNo9L-Regu" w:cs="NimbusRomNo9L-Regu"/>
          <w:kern w:val="0"/>
          <w:sz w:val="13"/>
          <w:szCs w:val="18"/>
        </w:rPr>
        <w:t>universal human parsing agent generates different levels of human parsing results taking an arbitrary image as input.</w:t>
      </w:r>
    </w:p>
    <w:p w:rsidR="008D169B" w:rsidRDefault="008D169B" w:rsidP="005A5267">
      <w:pPr>
        <w:ind w:firstLine="420"/>
      </w:pPr>
    </w:p>
    <w:p w:rsidR="004B432D" w:rsidRDefault="004B432D" w:rsidP="008D169B">
      <w:r>
        <w:rPr>
          <w:rFonts w:hint="eastAsia"/>
        </w:rPr>
        <w:t>【</w:t>
      </w:r>
      <w:r w:rsidR="008D169B">
        <w:rPr>
          <w:rFonts w:hint="eastAsia"/>
        </w:rPr>
        <w:t>创新点</w:t>
      </w:r>
      <w:r>
        <w:rPr>
          <w:rFonts w:hint="eastAsia"/>
        </w:rPr>
        <w:t>】</w:t>
      </w:r>
    </w:p>
    <w:p w:rsidR="004B432D" w:rsidRDefault="004B432D" w:rsidP="005A5267">
      <w:pPr>
        <w:ind w:firstLine="420"/>
      </w:pPr>
      <w:r>
        <w:t>1</w:t>
      </w:r>
      <w:r>
        <w:rPr>
          <w:rFonts w:hint="eastAsia"/>
        </w:rPr>
        <w:t>）</w:t>
      </w:r>
      <w:proofErr w:type="spellStart"/>
      <w:r w:rsidR="005A5267">
        <w:t>Graphonomy</w:t>
      </w:r>
      <w:proofErr w:type="spellEnd"/>
      <w:r w:rsidR="005A5267">
        <w:t xml:space="preserve"> first learns and</w:t>
      </w:r>
      <w:r w:rsidR="005A5267">
        <w:t xml:space="preserve"> </w:t>
      </w:r>
      <w:r w:rsidR="005A5267">
        <w:t>propagates compact high-level graph representation among</w:t>
      </w:r>
      <w:r w:rsidR="005A5267">
        <w:t xml:space="preserve"> </w:t>
      </w:r>
      <w:r w:rsidR="005A5267">
        <w:t>the labels within one dataset via Intra-Graph Reasoning,</w:t>
      </w:r>
      <w:r w:rsidR="005A5267">
        <w:t xml:space="preserve"> </w:t>
      </w:r>
      <w:r w:rsidR="005A5267">
        <w:t>and then</w:t>
      </w:r>
    </w:p>
    <w:p w:rsidR="004B432D" w:rsidRDefault="004B432D" w:rsidP="004B432D">
      <w:pPr>
        <w:ind w:firstLine="420"/>
      </w:pPr>
      <w:r>
        <w:t>2</w:t>
      </w:r>
      <w:r>
        <w:rPr>
          <w:rFonts w:hint="eastAsia"/>
        </w:rPr>
        <w:t>）</w:t>
      </w:r>
      <w:r w:rsidR="005A5267">
        <w:t>transfers semantic information across multiple</w:t>
      </w:r>
      <w:r>
        <w:t xml:space="preserve"> </w:t>
      </w:r>
      <w:r w:rsidR="005A5267">
        <w:t>datasets via Inter-Graph Transfer. Various graph transfer</w:t>
      </w:r>
      <w:r>
        <w:t xml:space="preserve"> </w:t>
      </w:r>
      <w:r w:rsidR="005A5267">
        <w:t>dependencies (e.g., similarity, linguistic knowledge) between</w:t>
      </w:r>
      <w:r>
        <w:t xml:space="preserve"> </w:t>
      </w:r>
      <w:r w:rsidR="005A5267">
        <w:t>different datasets are analyzed and encoded to enhance</w:t>
      </w:r>
      <w:r>
        <w:t xml:space="preserve"> </w:t>
      </w:r>
      <w:r w:rsidR="005A5267">
        <w:t xml:space="preserve">graph transfer capability. </w:t>
      </w:r>
    </w:p>
    <w:p w:rsidR="005A5267" w:rsidRDefault="004B432D" w:rsidP="004B432D">
      <w:pPr>
        <w:ind w:firstLine="420"/>
      </w:pPr>
      <w:r>
        <w:t>3</w:t>
      </w:r>
      <w:r>
        <w:rPr>
          <w:rFonts w:hint="eastAsia"/>
        </w:rPr>
        <w:t>）</w:t>
      </w:r>
      <w:r w:rsidR="005A5267">
        <w:t>By distilling universal semantic</w:t>
      </w:r>
      <w:r>
        <w:t xml:space="preserve"> </w:t>
      </w:r>
      <w:r w:rsidR="005A5267">
        <w:t xml:space="preserve">graph representation to each specific task, </w:t>
      </w:r>
      <w:proofErr w:type="spellStart"/>
      <w:r w:rsidR="005A5267">
        <w:t>Graphonomy</w:t>
      </w:r>
      <w:proofErr w:type="spellEnd"/>
    </w:p>
    <w:p w:rsidR="004B432D" w:rsidRDefault="005A5267" w:rsidP="005A5267">
      <w:proofErr w:type="gramStart"/>
      <w:r>
        <w:t>is</w:t>
      </w:r>
      <w:proofErr w:type="gramEnd"/>
      <w:r>
        <w:t xml:space="preserve"> able to predict all levels of parsing labels in one system</w:t>
      </w:r>
      <w:r w:rsidR="004B432D">
        <w:t xml:space="preserve"> </w:t>
      </w:r>
      <w:r>
        <w:t xml:space="preserve">without piling up the complexity. </w:t>
      </w:r>
    </w:p>
    <w:p w:rsidR="004B432D" w:rsidRDefault="004B432D" w:rsidP="005A5267"/>
    <w:p w:rsidR="004B432D" w:rsidRDefault="004B432D" w:rsidP="005A5267"/>
    <w:p w:rsidR="005A5267" w:rsidRDefault="005A5267" w:rsidP="005A5267">
      <w:pPr>
        <w:rPr>
          <w:rFonts w:hint="eastAsia"/>
        </w:rPr>
      </w:pPr>
      <w:r>
        <w:t>Experimental results</w:t>
      </w:r>
      <w:r w:rsidR="004B432D">
        <w:t xml:space="preserve"> </w:t>
      </w:r>
      <w:r>
        <w:t xml:space="preserve">show </w:t>
      </w:r>
      <w:proofErr w:type="spellStart"/>
      <w:r>
        <w:t>Graphonomy</w:t>
      </w:r>
      <w:proofErr w:type="spellEnd"/>
      <w:r>
        <w:t xml:space="preserve"> effectively achieves the state-of-the-art</w:t>
      </w:r>
      <w:r w:rsidR="004B432D">
        <w:t xml:space="preserve"> </w:t>
      </w:r>
      <w:r>
        <w:t>results on three human parsing benchmarks as well as advantageous</w:t>
      </w:r>
      <w:r w:rsidR="004B432D">
        <w:t xml:space="preserve"> </w:t>
      </w:r>
      <w:r>
        <w:t>universal human parsing performance.</w:t>
      </w:r>
    </w:p>
    <w:sectPr w:rsidR="005A52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4FA4"/>
    <w:rsid w:val="00234FA4"/>
    <w:rsid w:val="002865D8"/>
    <w:rsid w:val="00386B81"/>
    <w:rsid w:val="003A562D"/>
    <w:rsid w:val="00490E5F"/>
    <w:rsid w:val="004B432D"/>
    <w:rsid w:val="005A5267"/>
    <w:rsid w:val="007E5ED1"/>
    <w:rsid w:val="00882DE4"/>
    <w:rsid w:val="008D169B"/>
    <w:rsid w:val="009B6B66"/>
    <w:rsid w:val="00AF61A7"/>
    <w:rsid w:val="00CD5B88"/>
    <w:rsid w:val="00F93963"/>
    <w:rsid w:val="00FA0FD1"/>
    <w:rsid w:val="00FB0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0C1C"/>
  <w15:chartTrackingRefBased/>
  <w15:docId w15:val="{A7403BC6-7267-489D-8B50-90A42768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lxq</dc:creator>
  <cp:keywords/>
  <dc:description/>
  <cp:lastModifiedBy>lxq</cp:lastModifiedBy>
  <cp:revision>3</cp:revision>
  <dcterms:created xsi:type="dcterms:W3CDTF">2019-05-10T06:47:00Z</dcterms:created>
  <dcterms:modified xsi:type="dcterms:W3CDTF">2019-05-10T07:16:00Z</dcterms:modified>
</cp:coreProperties>
</file>