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2B" w:rsidRPr="0042402B" w:rsidRDefault="0042402B" w:rsidP="001C3C0B">
      <w:pPr>
        <w:widowControl/>
        <w:adjustRightInd w:val="0"/>
        <w:snapToGrid w:val="0"/>
        <w:jc w:val="left"/>
        <w:outlineLvl w:val="1"/>
        <w:rPr>
          <w:rFonts w:ascii="&amp;quot" w:eastAsia="宋体" w:hAnsi="&amp;quot" w:cs="宋体"/>
          <w:color w:val="333333"/>
          <w:spacing w:val="7"/>
          <w:kern w:val="0"/>
          <w:sz w:val="28"/>
          <w:szCs w:val="33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 w:val="28"/>
          <w:szCs w:val="33"/>
        </w:rPr>
        <w:t>图神经网络火了？谈下它的普适性与局限性</w:t>
      </w:r>
      <w:r w:rsidRPr="0042402B">
        <w:rPr>
          <w:rFonts w:ascii="&amp;quot" w:eastAsia="宋体" w:hAnsi="&amp;quot" w:cs="宋体"/>
          <w:color w:val="333333"/>
          <w:spacing w:val="7"/>
          <w:kern w:val="0"/>
          <w:sz w:val="28"/>
          <w:szCs w:val="33"/>
        </w:rPr>
        <w:t xml:space="preserve"> </w:t>
      </w:r>
    </w:p>
    <w:p w:rsidR="0042402B" w:rsidRPr="0042402B" w:rsidRDefault="0042402B" w:rsidP="001C3C0B">
      <w:pPr>
        <w:widowControl/>
        <w:adjustRightInd w:val="0"/>
        <w:snapToGrid w:val="0"/>
        <w:jc w:val="left"/>
        <w:rPr>
          <w:rFonts w:ascii="&amp;quot" w:eastAsia="宋体" w:hAnsi="&amp;quot" w:cs="宋体"/>
          <w:color w:val="333333"/>
          <w:spacing w:val="7"/>
          <w:kern w:val="0"/>
          <w:sz w:val="2"/>
          <w:szCs w:val="2"/>
        </w:rPr>
      </w:pPr>
      <w:hyperlink r:id="rId5" w:history="1">
        <w:r w:rsidRPr="001C3C0B">
          <w:rPr>
            <w:rFonts w:ascii="&amp;quot" w:eastAsia="宋体" w:hAnsi="&amp;quot" w:cs="宋体"/>
            <w:color w:val="576B95"/>
            <w:spacing w:val="7"/>
            <w:kern w:val="0"/>
            <w:szCs w:val="23"/>
            <w:u w:val="single"/>
          </w:rPr>
          <w:t>机器之心</w:t>
        </w:r>
        <w:r w:rsidRPr="001C3C0B">
          <w:rPr>
            <w:rFonts w:ascii="&amp;quot" w:eastAsia="宋体" w:hAnsi="&amp;quot" w:cs="宋体"/>
            <w:color w:val="576B95"/>
            <w:spacing w:val="7"/>
            <w:kern w:val="0"/>
            <w:szCs w:val="23"/>
            <w:u w:val="single"/>
          </w:rPr>
          <w:t xml:space="preserve"> </w:t>
        </w:r>
      </w:hyperlink>
      <w:r w:rsidRPr="001C3C0B">
        <w:rPr>
          <w:rFonts w:ascii="&amp;quot" w:eastAsia="宋体" w:hAnsi="&amp;quot" w:cs="宋体"/>
          <w:color w:val="333333"/>
          <w:spacing w:val="7"/>
          <w:kern w:val="0"/>
          <w:szCs w:val="23"/>
        </w:rPr>
        <w:t>昨天</w:t>
      </w:r>
      <w:r w:rsidRPr="0042402B">
        <w:rPr>
          <w:rFonts w:ascii="&amp;quot" w:eastAsia="宋体" w:hAnsi="&amp;quot" w:cs="宋体"/>
          <w:color w:val="333333"/>
          <w:spacing w:val="7"/>
          <w:kern w:val="0"/>
          <w:sz w:val="2"/>
          <w:szCs w:val="2"/>
        </w:rPr>
        <w:t xml:space="preserve"> </w:t>
      </w:r>
    </w:p>
    <w:p w:rsidR="0042402B" w:rsidRPr="0042402B" w:rsidRDefault="0042402B" w:rsidP="001C3C0B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E3E3E"/>
          <w:spacing w:val="7"/>
          <w:kern w:val="0"/>
          <w:szCs w:val="24"/>
        </w:rPr>
      </w:pPr>
      <w:r w:rsidRPr="0042402B">
        <w:rPr>
          <w:rFonts w:ascii="&amp;quot" w:eastAsia="宋体" w:hAnsi="&amp;quot" w:cs="宋体"/>
          <w:color w:val="FFFFFF"/>
          <w:spacing w:val="7"/>
          <w:kern w:val="0"/>
          <w:szCs w:val="23"/>
          <w:shd w:val="clear" w:color="auto" w:fill="757576"/>
        </w:rPr>
        <w:t>选自</w:t>
      </w:r>
      <w:proofErr w:type="spellStart"/>
      <w:r w:rsidRPr="0042402B">
        <w:rPr>
          <w:rFonts w:ascii="&amp;quot" w:eastAsia="宋体" w:hAnsi="&amp;quot" w:cs="宋体"/>
          <w:color w:val="FFFFFF"/>
          <w:spacing w:val="7"/>
          <w:kern w:val="0"/>
          <w:szCs w:val="23"/>
          <w:shd w:val="clear" w:color="auto" w:fill="757576"/>
        </w:rPr>
        <w:t>arXiv</w:t>
      </w:r>
      <w:proofErr w:type="spellEnd"/>
      <w:r w:rsidRPr="0042402B">
        <w:rPr>
          <w:rFonts w:ascii="&amp;quot" w:eastAsia="宋体" w:hAnsi="&amp;quot" w:cs="宋体"/>
          <w:color w:val="FFFFFF"/>
          <w:spacing w:val="7"/>
          <w:kern w:val="0"/>
          <w:szCs w:val="23"/>
          <w:shd w:val="clear" w:color="auto" w:fill="757576"/>
        </w:rPr>
        <w:br/>
      </w:r>
    </w:p>
    <w:p w:rsidR="0042402B" w:rsidRPr="0042402B" w:rsidRDefault="0042402B" w:rsidP="001C3C0B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E3E3E"/>
          <w:spacing w:val="7"/>
          <w:kern w:val="0"/>
          <w:szCs w:val="24"/>
        </w:rPr>
      </w:pPr>
      <w:r w:rsidRPr="001C3C0B">
        <w:rPr>
          <w:rFonts w:ascii="&amp;quot" w:eastAsia="宋体" w:hAnsi="&amp;quot" w:cs="宋体"/>
          <w:b/>
          <w:bCs/>
          <w:color w:val="888888"/>
          <w:spacing w:val="7"/>
          <w:kern w:val="0"/>
          <w:sz w:val="15"/>
          <w:szCs w:val="18"/>
        </w:rPr>
        <w:t>作者：</w:t>
      </w:r>
      <w:r w:rsidRPr="001C3C0B">
        <w:rPr>
          <w:rFonts w:ascii="&amp;quot" w:eastAsia="宋体" w:hAnsi="&amp;quot" w:cs="宋体"/>
          <w:b/>
          <w:bCs/>
          <w:color w:val="888888"/>
          <w:spacing w:val="7"/>
          <w:kern w:val="0"/>
          <w:sz w:val="15"/>
          <w:szCs w:val="18"/>
        </w:rPr>
        <w:t xml:space="preserve">Andreas </w:t>
      </w:r>
      <w:proofErr w:type="spellStart"/>
      <w:r w:rsidRPr="001C3C0B">
        <w:rPr>
          <w:rFonts w:ascii="&amp;quot" w:eastAsia="宋体" w:hAnsi="&amp;quot" w:cs="宋体"/>
          <w:b/>
          <w:bCs/>
          <w:color w:val="888888"/>
          <w:spacing w:val="7"/>
          <w:kern w:val="0"/>
          <w:sz w:val="15"/>
          <w:szCs w:val="18"/>
        </w:rPr>
        <w:t>Loukas</w:t>
      </w:r>
      <w:proofErr w:type="spellEnd"/>
    </w:p>
    <w:p w:rsidR="0042402B" w:rsidRPr="0042402B" w:rsidRDefault="0042402B" w:rsidP="001C3C0B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E3E3E"/>
          <w:spacing w:val="7"/>
          <w:kern w:val="0"/>
          <w:szCs w:val="24"/>
        </w:rPr>
      </w:pPr>
      <w:r w:rsidRPr="001C3C0B">
        <w:rPr>
          <w:rFonts w:ascii="&amp;quot" w:eastAsia="宋体" w:hAnsi="&amp;quot" w:cs="宋体"/>
          <w:b/>
          <w:bCs/>
          <w:color w:val="888888"/>
          <w:spacing w:val="7"/>
          <w:kern w:val="0"/>
          <w:sz w:val="15"/>
          <w:szCs w:val="18"/>
        </w:rPr>
        <w:t>机器之心编译</w:t>
      </w:r>
    </w:p>
    <w:p w:rsidR="0042402B" w:rsidRPr="0042402B" w:rsidRDefault="0042402B" w:rsidP="001C3C0B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1C3C0B">
        <w:rPr>
          <w:rFonts w:ascii="&amp;quot" w:eastAsia="宋体" w:hAnsi="&amp;quot" w:cs="宋体"/>
          <w:b/>
          <w:bCs/>
          <w:color w:val="888888"/>
          <w:spacing w:val="7"/>
          <w:kern w:val="0"/>
          <w:sz w:val="15"/>
          <w:szCs w:val="18"/>
        </w:rPr>
        <w:t>参与：韩放、张倩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Cs w:val="23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图神经网络（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GNN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）是一类基于深度学习</w:t>
      </w:r>
      <w:proofErr w:type="gram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的图域信息处理</w:t>
      </w:r>
      <w:proofErr w:type="gram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方法。由于具有较好的性能和</w:t>
      </w:r>
      <w:proofErr w:type="gram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可</w:t>
      </w:r>
      <w:proofErr w:type="gram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解释性，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GNN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已成为一种广泛应用的图分析方法。然而，再好的方法都存在一定的局限。来自洛桑联邦理工学院的研究者在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</w:t>
      </w:r>
      <w:proofErr w:type="spell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arXiv</w:t>
      </w:r>
      <w:proofErr w:type="spell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上发表了一篇论文，指出了图神经网络在消息传递分布式系统中的图灵普适性和局限性。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本文得出了两个重要结论：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1.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在足够的深度、宽度、节点独立性</w:t>
      </w:r>
      <w:proofErr w:type="gram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和层表达</w:t>
      </w:r>
      <w:proofErr w:type="gram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条件下，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GNN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是</w:t>
      </w:r>
      <w:proofErr w:type="gram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图灵普适</w:t>
      </w:r>
      <w:proofErr w:type="gram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（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Turing universal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）的；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2.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当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GNN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的深度和宽度受到限制时，它们的能力会大大降低。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1C3C0B"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drawing>
          <wp:inline distT="0" distB="0" distL="0" distR="0">
            <wp:extent cx="1414145" cy="942763"/>
            <wp:effectExtent l="0" t="0" r="0" b="0"/>
            <wp:docPr id="3" name="图片 3" descr="https://mmbiz.qpic.cn/mmbiz_png/KmXPKA19gW8Dw2Qg5GPVPym1Fs23DA1ndqPiaibDCxACzEZRribpESeibiaRVccwGyjPt7tYlsicfacskpnQop8b0iah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KmXPKA19gW8Dw2Qg5GPVPym1Fs23DA1ndqPiaibDCxACzEZRribpESeibiaRVccwGyjPt7tYlsicfacskpnQop8b0iah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841" cy="94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2B" w:rsidRPr="0042402B" w:rsidRDefault="0042402B" w:rsidP="001C3C0B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1C3C0B">
        <w:rPr>
          <w:rFonts w:ascii="&amp;quot" w:eastAsia="宋体" w:hAnsi="&amp;quot" w:cs="宋体"/>
          <w:b/>
          <w:bCs/>
          <w:color w:val="333333"/>
          <w:spacing w:val="7"/>
          <w:kern w:val="0"/>
          <w:szCs w:val="24"/>
        </w:rPr>
        <w:t>为什么要研究</w:t>
      </w:r>
      <w:r w:rsidRPr="001C3C0B">
        <w:rPr>
          <w:rFonts w:ascii="&amp;quot" w:eastAsia="宋体" w:hAnsi="&amp;quot" w:cs="宋体"/>
          <w:b/>
          <w:bCs/>
          <w:color w:val="333333"/>
          <w:spacing w:val="7"/>
          <w:kern w:val="0"/>
          <w:szCs w:val="24"/>
        </w:rPr>
        <w:t xml:space="preserve"> GNN </w:t>
      </w:r>
      <w:r w:rsidRPr="001C3C0B">
        <w:rPr>
          <w:rFonts w:ascii="&amp;quot" w:eastAsia="宋体" w:hAnsi="&amp;quot" w:cs="宋体"/>
          <w:b/>
          <w:bCs/>
          <w:color w:val="333333"/>
          <w:spacing w:val="7"/>
          <w:kern w:val="0"/>
          <w:szCs w:val="24"/>
        </w:rPr>
        <w:t>的局限性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br/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机器学习中的一个基本问题是确定模型可以学习和不能学习的内容。在深度学习中，大量的研究工作都取得了正面的结果。例如，众所周知，具有足够深度和宽度的前馈神经网络可以逼近任何通用函数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。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1C3C0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Cs w:val="23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最近，我们看到了研究图神经网络普适性的第一批结果，这些神经网络以图作为输入。</w:t>
      </w:r>
    </w:p>
    <w:p w:rsidR="001C3C0B" w:rsidRDefault="0042402B" w:rsidP="001C3C0B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Cs w:val="23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针对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层是线性的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且输入排列</w:t>
      </w:r>
      <w:proofErr w:type="gram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是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等变的</w:t>
      </w:r>
      <w:proofErr w:type="gram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深层网络，</w:t>
      </w:r>
      <w:proofErr w:type="spell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Maron</w:t>
      </w:r>
      <w:proofErr w:type="spell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等人得出了一个不变量函数的通用近似定理。</w:t>
      </w:r>
    </w:p>
    <w:p w:rsidR="001C3C0B" w:rsidRDefault="0042402B" w:rsidP="001C3C0B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Cs w:val="23"/>
        </w:rPr>
      </w:pPr>
      <w:proofErr w:type="spell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Keriven</w:t>
      </w:r>
      <w:proofErr w:type="spell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和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</w:t>
      </w:r>
      <w:proofErr w:type="spell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Peyr'E</w:t>
      </w:r>
      <w:proofErr w:type="spell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也证明了等变函数的普适性，尽管这一次是在一个特定的浅层体系结构下。</w:t>
      </w:r>
    </w:p>
    <w:p w:rsidR="001C3C0B" w:rsidRDefault="0042402B" w:rsidP="001C3C0B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Cs w:val="23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扩展到深集，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Xu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等人还证明了由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和聚集器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组成的单图神经网络层的普适性，该结果后来由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</w:t>
      </w:r>
      <w:proofErr w:type="spell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Seo</w:t>
      </w:r>
      <w:proofErr w:type="spell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等人扩展。</w:t>
      </w:r>
    </w:p>
    <w:p w:rsidR="0042402B" w:rsidRPr="0042402B" w:rsidRDefault="0042402B" w:rsidP="001C3C0B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这些研究从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函数层面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探究了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GNN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模型能学到什么，即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GNN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的普适性。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研究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GNN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的普适性使我们能够在有限的范围内把握模型的能力。理论上，只要有足够的数据和正确的学习算法，一个普适的网络就可以解决它所面临的任何任务。然而，这些结果带来的洞察也可能是有限的。知道一个足够大的网络可以用来解决任何问题，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并不能在实践中指导神经网络设计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。当然也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不能保证该网络能够在给定的学习算法（如随机梯度下降）下解决给定的任务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。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1C3C0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Cs w:val="23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然而，通过研究模型的局限性通常更容易获得对模型的洞察。毕竟，网络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所不能学到的关于特定特征的知识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在应用时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独立于训练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过程。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此外，通过帮助我们理解与模型相关的任务的难度，不可能性结果（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impossibility result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）有助于得出关于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如何选择</w:t>
      </w:r>
      <w:proofErr w:type="gramStart"/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模型超</w:t>
      </w:r>
      <w:proofErr w:type="gramEnd"/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参数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的实用建议。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以图分类问题为例。训练一个图分类器需要识别是什么构成了一个类，即在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同一个类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而非其他类中找到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图共享的属性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，然后决定新的</w:t>
      </w:r>
      <w:proofErr w:type="gram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图是否</w:t>
      </w:r>
      <w:proofErr w:type="gram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遵守所学习到的属性。然而，如果可以通过一定深度的图神经网络（且测试集足够多样化）证明上述决策问题是不可能的，那么我们可以确定，同一个网络将不会学习如何正确地对测试集进行分类，这与使用了什么学习算法无关。因此，在进行实验时，我们应该把重点放在比下限更深的网络上。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42402B" w:rsidRPr="0042402B" w:rsidRDefault="0042402B" w:rsidP="001C3C0B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1C3C0B">
        <w:rPr>
          <w:rFonts w:ascii="&amp;quot" w:eastAsia="宋体" w:hAnsi="&amp;quot" w:cs="宋体"/>
          <w:b/>
          <w:bCs/>
          <w:color w:val="333333"/>
          <w:spacing w:val="7"/>
          <w:kern w:val="0"/>
          <w:szCs w:val="24"/>
        </w:rPr>
        <w:t>本文两大结论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本文研究了图神经网络的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计算能力局限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。作者没有聚焦于特定的架构，这里所考虑的网络属于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消息传递框架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的范畴。选择该模型是因为它足够通用，能够涵盖几个最先进的网络，包括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GCN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、</w:t>
      </w:r>
      <w:proofErr w:type="spell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Chebynet</w:t>
      </w:r>
      <w:proofErr w:type="spell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、</w:t>
      </w:r>
      <w:proofErr w:type="gram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门控图神经网络</w:t>
      </w:r>
      <w:proofErr w:type="gram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、分子指纹、相互作用网络、分子图卷积等。本文提出的不可能性陈述（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impossibility statement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）源于一种新的技术，它能使理论计算机科学的成果重新定位。这将引出涉及图的一系列决策、优化和估计问题的下界。值得注意的是，这些问题中的一些被认为是不可能的，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除非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 xml:space="preserve"> GNN 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的深度和宽度的乘积超过了图的大小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；即使对于看起来很简单的任务或在考虑近似值时，这种依赖性仍然很强。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具体来讲，本文主要得出了两大结论。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1C3C0B">
        <w:rPr>
          <w:rFonts w:ascii="&amp;quot" w:eastAsia="宋体" w:hAnsi="&amp;quot" w:cs="宋体"/>
          <w:b/>
          <w:bCs/>
          <w:color w:val="333333"/>
          <w:spacing w:val="7"/>
          <w:kern w:val="0"/>
          <w:szCs w:val="23"/>
        </w:rPr>
        <w:t xml:space="preserve">GAN </w:t>
      </w:r>
      <w:r w:rsidRPr="001C3C0B">
        <w:rPr>
          <w:rFonts w:ascii="&amp;quot" w:eastAsia="宋体" w:hAnsi="&amp;quot" w:cs="宋体"/>
          <w:b/>
          <w:bCs/>
          <w:color w:val="333333"/>
          <w:spacing w:val="7"/>
          <w:kern w:val="0"/>
          <w:szCs w:val="23"/>
        </w:rPr>
        <w:t>在什么情况下具有图灵普适性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如果满足一定的条件，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GNN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就可以在其输入上计算任何可由图灵机计算的函数。这个结果不同于最近的普适性结果，后者考虑了在特定的函数类（不变和等变）和特定的体系结构上的近似（而不是可计算性）。这一主张遵循一种直接的方式，即建立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GNN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与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LOCAL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的图灵等价，这是分布式计算中的一个经典模型，本身就是图</w:t>
      </w:r>
      <w:proofErr w:type="gram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灵通用</w:t>
      </w:r>
      <w:proofErr w:type="gram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模型。简而言之，如果满足以下四个强条件，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GNN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就被证明是</w:t>
      </w:r>
      <w:proofErr w:type="gram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图灵普适</w:t>
      </w:r>
      <w:proofErr w:type="gram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的：（</w:t>
      </w:r>
      <w:proofErr w:type="spell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i</w:t>
      </w:r>
      <w:proofErr w:type="spell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）有足够的层；（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ii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）所述层有足够的宽度；（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iii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）节点之间互相独立；（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iv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）每层计算的函数具有足够的表现力。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1C3C0B">
        <w:rPr>
          <w:rFonts w:ascii="&amp;quot" w:eastAsia="宋体" w:hAnsi="&amp;quot" w:cs="宋体"/>
          <w:b/>
          <w:bCs/>
          <w:color w:val="333333"/>
          <w:spacing w:val="7"/>
          <w:kern w:val="0"/>
          <w:szCs w:val="23"/>
        </w:rPr>
        <w:t>哪些情况下</w:t>
      </w:r>
      <w:r w:rsidRPr="001C3C0B">
        <w:rPr>
          <w:rFonts w:ascii="&amp;quot" w:eastAsia="宋体" w:hAnsi="&amp;quot" w:cs="宋体"/>
          <w:b/>
          <w:bCs/>
          <w:color w:val="333333"/>
          <w:spacing w:val="7"/>
          <w:kern w:val="0"/>
          <w:szCs w:val="23"/>
        </w:rPr>
        <w:t xml:space="preserve"> GNN </w:t>
      </w:r>
      <w:r w:rsidRPr="001C3C0B">
        <w:rPr>
          <w:rFonts w:ascii="&amp;quot" w:eastAsia="宋体" w:hAnsi="&amp;quot" w:cs="宋体"/>
          <w:b/>
          <w:bCs/>
          <w:color w:val="333333"/>
          <w:spacing w:val="7"/>
          <w:kern w:val="0"/>
          <w:szCs w:val="23"/>
        </w:rPr>
        <w:t>学习能力会下降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为了了解更多，作者研究了对不使用读出函数的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GNN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的深度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d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和宽度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w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进行限制的含义。具体来说，当乘积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</w:t>
      </w:r>
      <w:proofErr w:type="spell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dw</w:t>
      </w:r>
      <w:proofErr w:type="spell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受到限制时，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GNN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的能力会大打折扣。该分析依赖于一个新的引理，该引理能够将不可能性结果从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LOCAL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转换到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GNN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。这种方法的主要好处是，它允许我们重新使用从理论计算机科学到</w:t>
      </w:r>
      <w:r w:rsidRPr="0042402B">
        <w:rPr>
          <w:rFonts w:ascii="&amp;quot" w:eastAsia="宋体" w:hAnsi="&amp;quot" w:cs="宋体"/>
          <w:color w:val="FF0000"/>
          <w:spacing w:val="7"/>
          <w:kern w:val="0"/>
          <w:szCs w:val="23"/>
        </w:rPr>
        <w:t>图神经网络设置的几个重要下界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。设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G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为神经网络的输入。本文给出了以下问题的下界：</w:t>
      </w:r>
    </w:p>
    <w:p w:rsidR="0042402B" w:rsidRPr="0042402B" w:rsidRDefault="0042402B" w:rsidP="001C3C0B">
      <w:pPr>
        <w:widowControl/>
        <w:numPr>
          <w:ilvl w:val="0"/>
          <w:numId w:val="1"/>
        </w:numPr>
        <w:adjustRightInd w:val="0"/>
        <w:snapToGrid w:val="0"/>
        <w:ind w:leftChars="436" w:left="1276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检测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G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是否包含特定长度的循环；</w:t>
      </w:r>
    </w:p>
    <w:p w:rsidR="0042402B" w:rsidRPr="0042402B" w:rsidRDefault="0042402B" w:rsidP="001C3C0B">
      <w:pPr>
        <w:widowControl/>
        <w:numPr>
          <w:ilvl w:val="0"/>
          <w:numId w:val="1"/>
        </w:numPr>
        <w:adjustRightInd w:val="0"/>
        <w:snapToGrid w:val="0"/>
        <w:ind w:leftChars="436" w:left="1276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验证给定的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G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子图是否连接，是否包含循环，是否为生成树，是否为二分体，是否为一条简单的路径，是否对应于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G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的割或哈密顿循环；</w:t>
      </w:r>
    </w:p>
    <w:p w:rsidR="0042402B" w:rsidRPr="0042402B" w:rsidRDefault="0042402B" w:rsidP="001C3C0B">
      <w:pPr>
        <w:widowControl/>
        <w:numPr>
          <w:ilvl w:val="0"/>
          <w:numId w:val="1"/>
        </w:numPr>
        <w:adjustRightInd w:val="0"/>
        <w:snapToGrid w:val="0"/>
        <w:ind w:leftChars="436" w:left="1276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近似两个顶点之间的最短路径，</w:t>
      </w:r>
      <w:proofErr w:type="gramStart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最小割和最小生成树</w:t>
      </w:r>
      <w:proofErr w:type="gramEnd"/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；</w:t>
      </w:r>
    </w:p>
    <w:p w:rsidR="0042402B" w:rsidRPr="0042402B" w:rsidRDefault="0042402B" w:rsidP="001C3C0B">
      <w:pPr>
        <w:widowControl/>
        <w:numPr>
          <w:ilvl w:val="0"/>
          <w:numId w:val="1"/>
        </w:numPr>
        <w:adjustRightInd w:val="0"/>
        <w:snapToGrid w:val="0"/>
        <w:ind w:leftChars="436" w:left="1276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找到最大独立集、最小顶点覆盖或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G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的着色；</w:t>
      </w:r>
    </w:p>
    <w:p w:rsidR="0042402B" w:rsidRPr="0042402B" w:rsidRDefault="0042402B" w:rsidP="001C3C0B">
      <w:pPr>
        <w:widowControl/>
        <w:numPr>
          <w:ilvl w:val="0"/>
          <w:numId w:val="1"/>
        </w:numPr>
        <w:adjustRightInd w:val="0"/>
        <w:snapToGrid w:val="0"/>
        <w:ind w:leftChars="436" w:left="1276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计算或近似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 xml:space="preserve"> G </w:t>
      </w:r>
      <w:r w:rsidRPr="0042402B">
        <w:rPr>
          <w:rFonts w:ascii="&amp;quot" w:eastAsia="宋体" w:hAnsi="&amp;quot" w:cs="宋体"/>
          <w:color w:val="333333"/>
          <w:spacing w:val="7"/>
          <w:kern w:val="0"/>
          <w:szCs w:val="23"/>
        </w:rPr>
        <w:t>的直径和周长；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42402B" w:rsidRPr="0042402B" w:rsidRDefault="0042402B" w:rsidP="001C3C0B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1C3C0B"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drawing>
          <wp:inline distT="0" distB="0" distL="0" distR="0">
            <wp:extent cx="8705850" cy="2609850"/>
            <wp:effectExtent l="0" t="0" r="0" b="0"/>
            <wp:docPr id="2" name="图片 2" descr="https://mmbiz.qpic.cn/mmbiz_png/KmXPKA19gW8Dw2Qg5GPVPym1Fs23DA1njRhCSzuNlSFa9icDNAiaGuTFnGXiclDHq16Nib80wF6J7oymFZpKHg3qp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KmXPKA19gW8Dw2Qg5GPVPym1Fs23DA1njRhCSzuNlSFa9icDNAiaGuTFnGXiclDHq16Nib80wF6J7oymFZpKHg3qp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2B" w:rsidRPr="0042402B" w:rsidRDefault="0042402B" w:rsidP="001C3C0B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1C3C0B">
        <w:rPr>
          <w:rFonts w:ascii="&amp;quot" w:eastAsia="宋体" w:hAnsi="&amp;quot" w:cs="宋体"/>
          <w:i/>
          <w:iCs/>
          <w:color w:val="888888"/>
          <w:spacing w:val="7"/>
          <w:kern w:val="0"/>
          <w:sz w:val="15"/>
          <w:szCs w:val="18"/>
        </w:rPr>
        <w:t>表</w:t>
      </w:r>
      <w:r w:rsidRPr="001C3C0B">
        <w:rPr>
          <w:rFonts w:ascii="&amp;quot" w:eastAsia="宋体" w:hAnsi="&amp;quot" w:cs="宋体"/>
          <w:i/>
          <w:iCs/>
          <w:color w:val="888888"/>
          <w:spacing w:val="7"/>
          <w:kern w:val="0"/>
          <w:sz w:val="15"/>
          <w:szCs w:val="18"/>
        </w:rPr>
        <w:t xml:space="preserve"> 1</w:t>
      </w:r>
      <w:r w:rsidRPr="001C3C0B">
        <w:rPr>
          <w:rFonts w:ascii="&amp;quot" w:eastAsia="宋体" w:hAnsi="&amp;quot" w:cs="宋体"/>
          <w:i/>
          <w:iCs/>
          <w:color w:val="888888"/>
          <w:spacing w:val="7"/>
          <w:kern w:val="0"/>
          <w:sz w:val="15"/>
          <w:szCs w:val="18"/>
        </w:rPr>
        <w:t>：主要结果总结。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i/>
          <w:iCs/>
          <w:color w:val="888888"/>
          <w:spacing w:val="7"/>
          <w:kern w:val="0"/>
          <w:sz w:val="15"/>
          <w:szCs w:val="18"/>
        </w:rPr>
        <w:br/>
      </w:r>
    </w:p>
    <w:p w:rsidR="0042402B" w:rsidRPr="0042402B" w:rsidRDefault="0042402B" w:rsidP="001C3C0B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1C3C0B"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drawing>
          <wp:inline distT="0" distB="0" distL="0" distR="0">
            <wp:extent cx="8543925" cy="3867150"/>
            <wp:effectExtent l="0" t="0" r="9525" b="0"/>
            <wp:docPr id="1" name="图片 1" descr="https://mmbiz.qpic.cn/mmbiz_png/KmXPKA19gW8Dw2Qg5GPVPym1Fs23DA1nicx0pmA0JpXgBKaMfU9yxIxltTGNeeemlzytpu0rWI1EORDe2XzlNR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KmXPKA19gW8Dw2Qg5GPVPym1Fs23DA1nicx0pmA0JpXgBKaMfU9yxIxltTGNeeemlzytpu0rWI1EORDe2XzlNR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2B" w:rsidRPr="0042402B" w:rsidRDefault="0042402B" w:rsidP="001C3C0B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1C3C0B">
        <w:rPr>
          <w:rFonts w:ascii="&amp;quot" w:eastAsia="宋体" w:hAnsi="&amp;quot" w:cs="宋体"/>
          <w:i/>
          <w:iCs/>
          <w:color w:val="888888"/>
          <w:spacing w:val="7"/>
          <w:kern w:val="0"/>
          <w:sz w:val="15"/>
          <w:szCs w:val="18"/>
        </w:rPr>
        <w:t>图</w:t>
      </w:r>
      <w:r w:rsidRPr="001C3C0B">
        <w:rPr>
          <w:rFonts w:ascii="&amp;quot" w:eastAsia="宋体" w:hAnsi="&amp;quot" w:cs="宋体"/>
          <w:i/>
          <w:iCs/>
          <w:color w:val="888888"/>
          <w:spacing w:val="7"/>
          <w:kern w:val="0"/>
          <w:sz w:val="15"/>
          <w:szCs w:val="18"/>
        </w:rPr>
        <w:t xml:space="preserve"> 1</w:t>
      </w:r>
      <w:r w:rsidRPr="001C3C0B">
        <w:rPr>
          <w:rFonts w:ascii="&amp;quot" w:eastAsia="宋体" w:hAnsi="&amp;quot" w:cs="宋体"/>
          <w:i/>
          <w:iCs/>
          <w:color w:val="888888"/>
          <w:spacing w:val="7"/>
          <w:kern w:val="0"/>
          <w:sz w:val="15"/>
          <w:szCs w:val="18"/>
        </w:rPr>
        <w:t>：给出下界的图例。</w:t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42402B">
        <w:rPr>
          <w:rFonts w:ascii="&amp;quot" w:eastAsia="宋体" w:hAnsi="&amp;quot" w:cs="宋体"/>
          <w:i/>
          <w:iCs/>
          <w:color w:val="888888"/>
          <w:spacing w:val="7"/>
          <w:kern w:val="0"/>
          <w:sz w:val="15"/>
          <w:szCs w:val="18"/>
        </w:rPr>
        <w:br/>
      </w:r>
    </w:p>
    <w:p w:rsidR="0042402B" w:rsidRPr="0042402B" w:rsidRDefault="0042402B" w:rsidP="001C3C0B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1C3C0B">
        <w:rPr>
          <w:rFonts w:ascii="&amp;quot" w:eastAsia="宋体" w:hAnsi="&amp;quot" w:cs="宋体"/>
          <w:i/>
          <w:iCs/>
          <w:color w:val="888888"/>
          <w:spacing w:val="7"/>
          <w:kern w:val="0"/>
          <w:sz w:val="15"/>
          <w:szCs w:val="18"/>
        </w:rPr>
        <w:t>论文链接：</w:t>
      </w:r>
      <w:bookmarkStart w:id="0" w:name="_GoBack"/>
      <w:r w:rsidRPr="001C3C0B">
        <w:rPr>
          <w:rFonts w:ascii="&amp;quot" w:eastAsia="宋体" w:hAnsi="&amp;quot" w:cs="宋体"/>
          <w:i/>
          <w:iCs/>
          <w:color w:val="888888"/>
          <w:spacing w:val="7"/>
          <w:kern w:val="0"/>
          <w:sz w:val="15"/>
          <w:szCs w:val="18"/>
        </w:rPr>
        <w:t>https://arxiv.org/abs/1907.03199</w:t>
      </w:r>
      <w:bookmarkEnd w:id="0"/>
    </w:p>
    <w:p w:rsidR="0099783C" w:rsidRPr="001C3C0B" w:rsidRDefault="00A95842" w:rsidP="001C3C0B">
      <w:pPr>
        <w:adjustRightInd w:val="0"/>
        <w:snapToGrid w:val="0"/>
        <w:rPr>
          <w:sz w:val="18"/>
        </w:rPr>
      </w:pPr>
    </w:p>
    <w:sectPr w:rsidR="0099783C" w:rsidRPr="001C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15C9F"/>
    <w:multiLevelType w:val="multilevel"/>
    <w:tmpl w:val="0E60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60"/>
    <w:rsid w:val="001C3C0B"/>
    <w:rsid w:val="002865D8"/>
    <w:rsid w:val="00386B81"/>
    <w:rsid w:val="003A562D"/>
    <w:rsid w:val="0042402B"/>
    <w:rsid w:val="00490E5F"/>
    <w:rsid w:val="007E5ED1"/>
    <w:rsid w:val="00882DE4"/>
    <w:rsid w:val="009B6B66"/>
    <w:rsid w:val="00A95842"/>
    <w:rsid w:val="00AF61A7"/>
    <w:rsid w:val="00C64060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EABD"/>
  <w15:chartTrackingRefBased/>
  <w15:docId w15:val="{CA83C373-732C-4697-8405-5140507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240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240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42402B"/>
  </w:style>
  <w:style w:type="character" w:styleId="a3">
    <w:name w:val="Hyperlink"/>
    <w:basedOn w:val="a0"/>
    <w:uiPriority w:val="99"/>
    <w:semiHidden/>
    <w:unhideWhenUsed/>
    <w:rsid w:val="0042402B"/>
    <w:rPr>
      <w:color w:val="0000FF"/>
      <w:u w:val="single"/>
    </w:rPr>
  </w:style>
  <w:style w:type="character" w:styleId="a4">
    <w:name w:val="Emphasis"/>
    <w:basedOn w:val="a0"/>
    <w:uiPriority w:val="20"/>
    <w:qFormat/>
    <w:rsid w:val="0042402B"/>
    <w:rPr>
      <w:i/>
      <w:iCs/>
    </w:rPr>
  </w:style>
  <w:style w:type="paragraph" w:styleId="a5">
    <w:name w:val="Normal (Web)"/>
    <w:basedOn w:val="a"/>
    <w:uiPriority w:val="99"/>
    <w:semiHidden/>
    <w:unhideWhenUsed/>
    <w:rsid w:val="004240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24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87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142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4</cp:revision>
  <dcterms:created xsi:type="dcterms:W3CDTF">2019-07-30T03:35:00Z</dcterms:created>
  <dcterms:modified xsi:type="dcterms:W3CDTF">2019-07-30T07:45:00Z</dcterms:modified>
</cp:coreProperties>
</file>