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6C5" w:rsidRPr="00FE16C5" w:rsidRDefault="00FE16C5" w:rsidP="00350D40">
      <w:pPr>
        <w:widowControl/>
        <w:adjustRightInd w:val="0"/>
        <w:snapToGrid w:val="0"/>
        <w:jc w:val="left"/>
        <w:outlineLvl w:val="3"/>
        <w:rPr>
          <w:rFonts w:ascii="&amp;quot" w:eastAsia="宋体" w:hAnsi="&amp;quot" w:cs="宋体"/>
          <w:b/>
          <w:bCs/>
          <w:color w:val="8C1B13"/>
          <w:kern w:val="0"/>
          <w:sz w:val="27"/>
          <w:szCs w:val="27"/>
        </w:rPr>
      </w:pPr>
      <w:r w:rsidRPr="00FE16C5">
        <w:rPr>
          <w:rFonts w:ascii="&amp;quot" w:eastAsia="宋体" w:hAnsi="&amp;quot" w:cs="宋体" w:hint="eastAsia"/>
          <w:b/>
          <w:bCs/>
          <w:color w:val="8C1B13"/>
          <w:kern w:val="0"/>
          <w:sz w:val="27"/>
          <w:szCs w:val="27"/>
        </w:rPr>
        <w:fldChar w:fldCharType="begin"/>
      </w:r>
      <w:r w:rsidRPr="00FE16C5">
        <w:rPr>
          <w:rFonts w:ascii="&amp;quot" w:eastAsia="宋体" w:hAnsi="&amp;quot" w:cs="宋体" w:hint="eastAsia"/>
          <w:b/>
          <w:bCs/>
          <w:color w:val="8C1B13"/>
          <w:kern w:val="0"/>
          <w:sz w:val="27"/>
          <w:szCs w:val="27"/>
        </w:rPr>
        <w:instrText xml:space="preserve"> HYPERLINK "https://openreview.net/forum?id=rJ4qXnCqFX" </w:instrText>
      </w:r>
      <w:r w:rsidRPr="00FE16C5">
        <w:rPr>
          <w:rFonts w:ascii="&amp;quot" w:eastAsia="宋体" w:hAnsi="&amp;quot" w:cs="宋体" w:hint="eastAsia"/>
          <w:b/>
          <w:bCs/>
          <w:color w:val="8C1B13"/>
          <w:kern w:val="0"/>
          <w:sz w:val="27"/>
          <w:szCs w:val="27"/>
        </w:rPr>
        <w:fldChar w:fldCharType="separate"/>
      </w:r>
      <w:r w:rsidRPr="00FE16C5">
        <w:rPr>
          <w:rFonts w:ascii="&amp;quot" w:eastAsia="宋体" w:hAnsi="&amp;quot" w:cs="宋体"/>
          <w:b/>
          <w:bCs/>
          <w:color w:val="4D8093"/>
          <w:kern w:val="0"/>
          <w:sz w:val="27"/>
          <w:szCs w:val="27"/>
          <w:u w:val="single"/>
          <w:bdr w:val="none" w:sz="0" w:space="0" w:color="auto" w:frame="1"/>
        </w:rPr>
        <w:t xml:space="preserve">Probabilistic Knowledge Graph Embeddings </w:t>
      </w:r>
      <w:r w:rsidRPr="00FE16C5">
        <w:rPr>
          <w:rFonts w:ascii="&amp;quot" w:eastAsia="宋体" w:hAnsi="&amp;quot" w:cs="宋体" w:hint="eastAsia"/>
          <w:b/>
          <w:bCs/>
          <w:color w:val="8C1B13"/>
          <w:kern w:val="0"/>
          <w:sz w:val="27"/>
          <w:szCs w:val="27"/>
        </w:rPr>
        <w:fldChar w:fldCharType="end"/>
      </w:r>
      <w:r w:rsidRPr="00FE16C5">
        <w:rPr>
          <w:rFonts w:ascii="&amp;quot" w:eastAsia="宋体" w:hAnsi="&amp;quot" w:cs="宋体" w:hint="eastAsia"/>
          <w:b/>
          <w:bCs/>
          <w:noProof/>
          <w:color w:val="4D8093"/>
          <w:kern w:val="0"/>
          <w:sz w:val="18"/>
          <w:szCs w:val="18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s://openreview.net/static/images/pdf_icon_blue.svg">
                  <a:hlinkClick xmlns:a="http://schemas.openxmlformats.org/drawingml/2006/main" r:id="rId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19ED7" id="矩形 1" o:spid="_x0000_s1026" alt="https://openreview.net/static/images/pdf_icon_blue.svg" href="https://openreview.net/pdf?id=rJ4qXnCqFX" target="&quot;_blank&quot;" title="&quot;Download PDF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E16C5" w:rsidRPr="00FE16C5" w:rsidRDefault="00FE16C5" w:rsidP="00350D40">
      <w:pPr>
        <w:widowControl/>
        <w:adjustRightInd w:val="0"/>
        <w:snapToGrid w:val="0"/>
        <w:jc w:val="left"/>
        <w:rPr>
          <w:rFonts w:ascii="&amp;quot" w:eastAsia="宋体" w:hAnsi="&amp;quot" w:cs="宋体"/>
          <w:color w:val="2C3A4A"/>
          <w:kern w:val="0"/>
          <w:szCs w:val="21"/>
        </w:rPr>
      </w:pPr>
      <w:hyperlink r:id="rId6" w:tooltip="farnood.salehi@epfl.ch" w:history="1">
        <w:r w:rsidRPr="00FE16C5">
          <w:rPr>
            <w:rFonts w:ascii="&amp;quot" w:eastAsia="宋体" w:hAnsi="&amp;quot" w:cs="宋体"/>
            <w:color w:val="2C3A4A"/>
            <w:kern w:val="0"/>
            <w:szCs w:val="21"/>
            <w:u w:val="single"/>
            <w:bdr w:val="none" w:sz="0" w:space="0" w:color="auto" w:frame="1"/>
          </w:rPr>
          <w:t>Farnood Salehi</w:t>
        </w:r>
      </w:hyperlink>
      <w:r w:rsidRPr="00FE16C5">
        <w:rPr>
          <w:rFonts w:ascii="&amp;quot" w:eastAsia="宋体" w:hAnsi="&amp;quot" w:cs="宋体"/>
          <w:color w:val="2C3A4A"/>
          <w:kern w:val="0"/>
          <w:szCs w:val="21"/>
        </w:rPr>
        <w:t xml:space="preserve">, </w:t>
      </w:r>
      <w:hyperlink r:id="rId7" w:tooltip="robert.bamler@gmail.com" w:history="1">
        <w:r w:rsidRPr="00FE16C5">
          <w:rPr>
            <w:rFonts w:ascii="&amp;quot" w:eastAsia="宋体" w:hAnsi="&amp;quot" w:cs="宋体"/>
            <w:color w:val="2C3A4A"/>
            <w:kern w:val="0"/>
            <w:szCs w:val="21"/>
            <w:u w:val="single"/>
            <w:bdr w:val="none" w:sz="0" w:space="0" w:color="auto" w:frame="1"/>
          </w:rPr>
          <w:t>Robert Bamler</w:t>
        </w:r>
      </w:hyperlink>
      <w:r w:rsidRPr="00FE16C5">
        <w:rPr>
          <w:rFonts w:ascii="&amp;quot" w:eastAsia="宋体" w:hAnsi="&amp;quot" w:cs="宋体"/>
          <w:color w:val="2C3A4A"/>
          <w:kern w:val="0"/>
          <w:szCs w:val="21"/>
        </w:rPr>
        <w:t xml:space="preserve">, </w:t>
      </w:r>
      <w:hyperlink r:id="rId8" w:tooltip="stephan.mandt@gmail.com" w:history="1">
        <w:r w:rsidRPr="00FE16C5">
          <w:rPr>
            <w:rFonts w:ascii="&amp;quot" w:eastAsia="宋体" w:hAnsi="&amp;quot" w:cs="宋体"/>
            <w:color w:val="2C3A4A"/>
            <w:kern w:val="0"/>
            <w:szCs w:val="21"/>
            <w:u w:val="single"/>
            <w:bdr w:val="none" w:sz="0" w:space="0" w:color="auto" w:frame="1"/>
          </w:rPr>
          <w:t>Stephan Mandt</w:t>
        </w:r>
      </w:hyperlink>
      <w:r w:rsidRPr="00FE16C5">
        <w:rPr>
          <w:rFonts w:ascii="&amp;quot" w:eastAsia="宋体" w:hAnsi="&amp;quot" w:cs="宋体"/>
          <w:color w:val="2C3A4A"/>
          <w:kern w:val="0"/>
          <w:szCs w:val="21"/>
        </w:rPr>
        <w:t xml:space="preserve"> </w:t>
      </w:r>
    </w:p>
    <w:p w:rsidR="00FE16C5" w:rsidRPr="00FE16C5" w:rsidRDefault="00FE16C5" w:rsidP="00350D40">
      <w:pPr>
        <w:widowControl/>
        <w:adjustRightInd w:val="0"/>
        <w:snapToGrid w:val="0"/>
        <w:jc w:val="left"/>
        <w:rPr>
          <w:rFonts w:ascii="&amp;quot" w:eastAsia="宋体" w:hAnsi="&amp;quot" w:cs="宋体"/>
          <w:color w:val="777777"/>
          <w:kern w:val="0"/>
          <w:sz w:val="18"/>
          <w:szCs w:val="18"/>
        </w:rPr>
      </w:pPr>
      <w:r w:rsidRPr="00FE16C5">
        <w:rPr>
          <w:rFonts w:ascii="&amp;quot" w:eastAsia="宋体" w:hAnsi="&amp;quot" w:cs="宋体"/>
          <w:color w:val="777777"/>
          <w:kern w:val="0"/>
          <w:sz w:val="18"/>
          <w:szCs w:val="18"/>
        </w:rPr>
        <w:t xml:space="preserve">‎28‎ ‎Sep‎ ‎2018 (modified: ‎21‎ ‎Dec‎ ‎2018) ICLR 2019 Conference Blind Submission Readers: Everyone 7 Replies </w:t>
      </w:r>
    </w:p>
    <w:p w:rsidR="00FE16C5" w:rsidRPr="00FE16C5" w:rsidRDefault="00FE16C5" w:rsidP="00350D40">
      <w:pPr>
        <w:widowControl/>
        <w:adjustRightInd w:val="0"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rJ4qXnCqFX-details-871" w:history="1">
        <w:r w:rsidRPr="00FE16C5">
          <w:rPr>
            <w:rFonts w:ascii="&amp;quot" w:eastAsia="宋体" w:hAnsi="&amp;quot" w:cs="宋体"/>
            <w:color w:val="4D8093"/>
            <w:kern w:val="0"/>
            <w:sz w:val="18"/>
            <w:szCs w:val="18"/>
            <w:u w:val="single"/>
            <w:bdr w:val="none" w:sz="0" w:space="0" w:color="auto" w:frame="1"/>
          </w:rPr>
          <w:t>Hide details</w:t>
        </w:r>
      </w:hyperlink>
    </w:p>
    <w:p w:rsidR="00FE16C5" w:rsidRPr="00FE16C5" w:rsidRDefault="00FE16C5" w:rsidP="00350D40">
      <w:pPr>
        <w:widowControl/>
        <w:numPr>
          <w:ilvl w:val="0"/>
          <w:numId w:val="1"/>
        </w:numPr>
        <w:pBdr>
          <w:left w:val="single" w:sz="12" w:space="0" w:color="DDDDDD"/>
        </w:pBdr>
        <w:adjustRightInd w:val="0"/>
        <w:snapToGrid w:val="0"/>
        <w:jc w:val="left"/>
        <w:rPr>
          <w:rFonts w:ascii="&amp;quot" w:eastAsia="宋体" w:hAnsi="&amp;quot" w:cs="宋体"/>
          <w:color w:val="333333"/>
          <w:kern w:val="0"/>
          <w:sz w:val="18"/>
          <w:szCs w:val="18"/>
        </w:rPr>
      </w:pPr>
      <w:r w:rsidRPr="00FE16C5">
        <w:rPr>
          <w:rFonts w:ascii="&amp;quot" w:eastAsia="宋体" w:hAnsi="&amp;quot" w:cs="宋体"/>
          <w:b/>
          <w:bCs/>
          <w:color w:val="8C1B13"/>
          <w:kern w:val="0"/>
          <w:sz w:val="18"/>
          <w:szCs w:val="18"/>
        </w:rPr>
        <w:t>Abstract:</w:t>
      </w:r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 xml:space="preserve"> We develop a probabilistic extension of state-of-the-art embedding models for link prediction in relational knowledge graphs. Knowledge graphs are collections of relational facts, where each fact states that a certain relation holds between two entities, such as people, places, or objects. We argue that knowledge graphs should be treated within a Bayesian framework because even large knowledge graphs typically contain only few facts per entity, leading effectively to a small data problem where parameter uncertainty matters. We introduce a probabilistic reinterpretation of the </w:t>
      </w:r>
      <w:proofErr w:type="spellStart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>DistMult</w:t>
      </w:r>
      <w:proofErr w:type="spellEnd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 xml:space="preserve"> (Yang et al., 2015) and </w:t>
      </w:r>
      <w:proofErr w:type="spellStart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>ComplEx</w:t>
      </w:r>
      <w:proofErr w:type="spellEnd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 xml:space="preserve"> (</w:t>
      </w:r>
      <w:proofErr w:type="spellStart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>Trouillon</w:t>
      </w:r>
      <w:proofErr w:type="spellEnd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 xml:space="preserve"> et al., 2016) models and employ </w:t>
      </w:r>
      <w:proofErr w:type="spellStart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>variational</w:t>
      </w:r>
      <w:proofErr w:type="spellEnd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 xml:space="preserve"> inference to estimate a lower bound on the marginal likelihood of the data. We find that the main benefit of the Bayesian approach is that it allows for efficient, gradient based optimization over </w:t>
      </w:r>
      <w:proofErr w:type="spellStart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>hyperparameters</w:t>
      </w:r>
      <w:proofErr w:type="spellEnd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 xml:space="preserve">, which would lead to divergences in a non-Bayesian treatment. Models with such learned </w:t>
      </w:r>
      <w:proofErr w:type="spellStart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>hyperparameters</w:t>
      </w:r>
      <w:proofErr w:type="spellEnd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 xml:space="preserve"> improve over the state-of-the-art by a significant margin, as we demonstrate on several benchmarks. </w:t>
      </w:r>
    </w:p>
    <w:p w:rsidR="00FE16C5" w:rsidRPr="00FE16C5" w:rsidRDefault="00FE16C5" w:rsidP="00350D40">
      <w:pPr>
        <w:widowControl/>
        <w:numPr>
          <w:ilvl w:val="0"/>
          <w:numId w:val="1"/>
        </w:numPr>
        <w:pBdr>
          <w:left w:val="single" w:sz="12" w:space="0" w:color="DDDDDD"/>
        </w:pBdr>
        <w:adjustRightInd w:val="0"/>
        <w:snapToGrid w:val="0"/>
        <w:jc w:val="left"/>
        <w:rPr>
          <w:rFonts w:ascii="&amp;quot" w:eastAsia="宋体" w:hAnsi="&amp;quot" w:cs="宋体"/>
          <w:color w:val="333333"/>
          <w:kern w:val="0"/>
          <w:sz w:val="18"/>
          <w:szCs w:val="18"/>
        </w:rPr>
      </w:pPr>
      <w:r w:rsidRPr="00FE16C5">
        <w:rPr>
          <w:rFonts w:ascii="&amp;quot" w:eastAsia="宋体" w:hAnsi="&amp;quot" w:cs="宋体"/>
          <w:b/>
          <w:bCs/>
          <w:color w:val="8C1B13"/>
          <w:kern w:val="0"/>
          <w:sz w:val="18"/>
          <w:szCs w:val="18"/>
        </w:rPr>
        <w:t>Keywords:</w:t>
      </w:r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 xml:space="preserve"> knowledge graph, </w:t>
      </w:r>
      <w:proofErr w:type="spellStart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>variational</w:t>
      </w:r>
      <w:proofErr w:type="spellEnd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 xml:space="preserve"> inference, probabilistic models, representation learning </w:t>
      </w:r>
    </w:p>
    <w:p w:rsidR="00FE16C5" w:rsidRPr="00FE16C5" w:rsidRDefault="00FE16C5" w:rsidP="00350D40">
      <w:pPr>
        <w:widowControl/>
        <w:numPr>
          <w:ilvl w:val="0"/>
          <w:numId w:val="1"/>
        </w:numPr>
        <w:pBdr>
          <w:left w:val="single" w:sz="12" w:space="0" w:color="DDDDDD"/>
        </w:pBdr>
        <w:adjustRightInd w:val="0"/>
        <w:snapToGrid w:val="0"/>
        <w:jc w:val="left"/>
        <w:rPr>
          <w:rFonts w:ascii="&amp;quot" w:eastAsia="宋体" w:hAnsi="&amp;quot" w:cs="宋体"/>
          <w:color w:val="333333"/>
          <w:kern w:val="0"/>
          <w:sz w:val="18"/>
          <w:szCs w:val="18"/>
        </w:rPr>
      </w:pPr>
      <w:r w:rsidRPr="00FE16C5">
        <w:rPr>
          <w:rFonts w:ascii="&amp;quot" w:eastAsia="宋体" w:hAnsi="&amp;quot" w:cs="宋体"/>
          <w:b/>
          <w:bCs/>
          <w:color w:val="8C1B13"/>
          <w:kern w:val="0"/>
          <w:sz w:val="18"/>
          <w:szCs w:val="18"/>
        </w:rPr>
        <w:t>TL;DR:</w:t>
      </w:r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 xml:space="preserve"> Scalable </w:t>
      </w:r>
      <w:proofErr w:type="spellStart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>hyperparameter</w:t>
      </w:r>
      <w:proofErr w:type="spellEnd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 xml:space="preserve"> learning for knowledge graph embedding models using </w:t>
      </w:r>
      <w:proofErr w:type="spellStart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>variational</w:t>
      </w:r>
      <w:proofErr w:type="spellEnd"/>
      <w:r w:rsidRPr="00FE16C5">
        <w:rPr>
          <w:rFonts w:ascii="&amp;quot" w:eastAsia="宋体" w:hAnsi="&amp;quot" w:cs="宋体"/>
          <w:color w:val="333333"/>
          <w:kern w:val="0"/>
          <w:sz w:val="18"/>
          <w:szCs w:val="18"/>
        </w:rPr>
        <w:t xml:space="preserve"> EM </w:t>
      </w:r>
    </w:p>
    <w:p w:rsidR="00FE16C5" w:rsidRDefault="00FE16C5" w:rsidP="00350D40">
      <w:pPr>
        <w:adjustRightInd w:val="0"/>
        <w:snapToGrid w:val="0"/>
        <w:ind w:firstLine="360"/>
      </w:pPr>
      <w:r w:rsidRPr="00FE16C5">
        <w:t xml:space="preserve">We develop a probabilistic extension of state-of-the-art embedding models for </w:t>
      </w:r>
      <w:r w:rsidRPr="00FE16C5">
        <w:rPr>
          <w:color w:val="FF0000"/>
        </w:rPr>
        <w:t>link prediction</w:t>
      </w:r>
      <w:r w:rsidRPr="00FE16C5">
        <w:t xml:space="preserve"> in relational knowledge graphs. Knowledge graphs are collections of relational facts, where each fact states that a certain relation holds between two entities, such as people, places, or objects. We argue that knowledge graphs should be treated within a Bayesian framework because even </w:t>
      </w:r>
      <w:r w:rsidRPr="00FE16C5">
        <w:rPr>
          <w:color w:val="FF0000"/>
        </w:rPr>
        <w:t>large knowledge graphs</w:t>
      </w:r>
      <w:r w:rsidRPr="00FE16C5">
        <w:t xml:space="preserve"> typically contain only </w:t>
      </w:r>
      <w:r w:rsidRPr="00FE16C5">
        <w:rPr>
          <w:color w:val="FF0000"/>
        </w:rPr>
        <w:t>few facts per entity</w:t>
      </w:r>
      <w:r w:rsidRPr="00FE16C5">
        <w:t xml:space="preserve">, leading effectively to a small data problem where parameter uncertainty matters. </w:t>
      </w:r>
    </w:p>
    <w:p w:rsidR="00FE16C5" w:rsidRDefault="00FE16C5" w:rsidP="00350D40">
      <w:pPr>
        <w:adjustRightInd w:val="0"/>
        <w:snapToGrid w:val="0"/>
        <w:ind w:firstLine="360"/>
        <w:jc w:val="center"/>
      </w:pPr>
      <w:r>
        <w:rPr>
          <w:noProof/>
        </w:rPr>
        <w:drawing>
          <wp:inline distT="0" distB="0" distL="0" distR="0">
            <wp:extent cx="3555187" cy="179985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57" cy="180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6C5" w:rsidRDefault="00FE16C5" w:rsidP="00350D40">
      <w:pPr>
        <w:adjustRightInd w:val="0"/>
        <w:snapToGrid w:val="0"/>
        <w:ind w:firstLine="360"/>
      </w:pPr>
      <w:r w:rsidRPr="00FE16C5">
        <w:t xml:space="preserve">We introduce </w:t>
      </w:r>
    </w:p>
    <w:p w:rsidR="00FE16C5" w:rsidRDefault="00FE16C5" w:rsidP="00350D40">
      <w:pPr>
        <w:adjustRightInd w:val="0"/>
        <w:snapToGrid w:val="0"/>
        <w:ind w:firstLine="360"/>
      </w:pPr>
      <w:r>
        <w:t>1</w:t>
      </w:r>
      <w:r>
        <w:rPr>
          <w:rFonts w:hint="eastAsia"/>
        </w:rPr>
        <w:t>）</w:t>
      </w:r>
      <w:r w:rsidRPr="00FE16C5">
        <w:t xml:space="preserve">a probabilistic reinterpretation of the </w:t>
      </w:r>
      <w:proofErr w:type="spellStart"/>
      <w:r w:rsidRPr="00FE16C5">
        <w:t>DistMult</w:t>
      </w:r>
      <w:proofErr w:type="spellEnd"/>
      <w:r w:rsidRPr="00FE16C5">
        <w:t xml:space="preserve"> (Yang et al., 2015) and </w:t>
      </w:r>
    </w:p>
    <w:p w:rsidR="00FE16C5" w:rsidRDefault="00FE16C5" w:rsidP="00350D40">
      <w:pPr>
        <w:adjustRightInd w:val="0"/>
        <w:snapToGrid w:val="0"/>
        <w:ind w:left="3360" w:firstLine="420"/>
      </w:pPr>
      <w:proofErr w:type="spellStart"/>
      <w:r w:rsidRPr="00FE16C5">
        <w:t>ComplEx</w:t>
      </w:r>
      <w:proofErr w:type="spellEnd"/>
      <w:r w:rsidRPr="00FE16C5">
        <w:t xml:space="preserve"> (</w:t>
      </w:r>
      <w:proofErr w:type="spellStart"/>
      <w:r w:rsidRPr="00FE16C5">
        <w:t>Tro</w:t>
      </w:r>
      <w:r>
        <w:t>uillon</w:t>
      </w:r>
      <w:proofErr w:type="spellEnd"/>
      <w:r>
        <w:t xml:space="preserve"> et al., 2016) models and</w:t>
      </w:r>
    </w:p>
    <w:p w:rsidR="00FE16C5" w:rsidRDefault="00FE16C5" w:rsidP="00350D40">
      <w:pPr>
        <w:adjustRightInd w:val="0"/>
        <w:snapToGrid w:val="0"/>
        <w:ind w:leftChars="204" w:left="850" w:hangingChars="201" w:hanging="422"/>
      </w:pPr>
      <w:r>
        <w:t>2</w:t>
      </w:r>
      <w:r>
        <w:rPr>
          <w:rFonts w:hint="eastAsia"/>
        </w:rPr>
        <w:t>）</w:t>
      </w:r>
      <w:r>
        <w:t xml:space="preserve">We apply </w:t>
      </w:r>
      <w:r w:rsidRPr="00FE16C5">
        <w:rPr>
          <w:color w:val="FF0000"/>
        </w:rPr>
        <w:t xml:space="preserve">stochastic </w:t>
      </w:r>
      <w:proofErr w:type="spellStart"/>
      <w:r w:rsidRPr="00FE16C5">
        <w:rPr>
          <w:color w:val="FF0000"/>
        </w:rPr>
        <w:t>variational</w:t>
      </w:r>
      <w:proofErr w:type="spellEnd"/>
      <w:r w:rsidRPr="00FE16C5">
        <w:rPr>
          <w:color w:val="FF0000"/>
        </w:rPr>
        <w:t xml:space="preserve"> inference</w:t>
      </w:r>
      <w:r>
        <w:t xml:space="preserve"> to </w:t>
      </w:r>
      <w:proofErr w:type="spellStart"/>
      <w:r>
        <w:t>scalably</w:t>
      </w:r>
      <w:proofErr w:type="spellEnd"/>
      <w:r>
        <w:t xml:space="preserve"> estimate an approximate posterior for each</w:t>
      </w:r>
      <w:r>
        <w:t xml:space="preserve"> </w:t>
      </w:r>
      <w:r>
        <w:t xml:space="preserve">entity and relation embedding in the knowledge graph. </w:t>
      </w:r>
    </w:p>
    <w:p w:rsidR="00FE16C5" w:rsidRDefault="00FE16C5" w:rsidP="00350D40">
      <w:pPr>
        <w:adjustRightInd w:val="0"/>
        <w:snapToGrid w:val="0"/>
        <w:ind w:leftChars="472" w:left="991" w:rightChars="310" w:right="651" w:firstLineChars="200" w:firstLine="420"/>
      </w:pPr>
      <w:r>
        <w:t>This approach not only allows us to</w:t>
      </w:r>
      <w:r>
        <w:t xml:space="preserve"> </w:t>
      </w:r>
      <w:r w:rsidRPr="00FE16C5">
        <w:rPr>
          <w:color w:val="FF0000"/>
        </w:rPr>
        <w:t>estimate uncertainty</w:t>
      </w:r>
      <w:r>
        <w:t xml:space="preserve">, but more importantly allows for </w:t>
      </w:r>
      <w:r w:rsidRPr="00350D40">
        <w:rPr>
          <w:color w:val="FF0000"/>
        </w:rPr>
        <w:t xml:space="preserve">gradient-based </w:t>
      </w:r>
      <w:proofErr w:type="spellStart"/>
      <w:r w:rsidRPr="00350D40">
        <w:rPr>
          <w:color w:val="FF0000"/>
        </w:rPr>
        <w:t>hyperparameter</w:t>
      </w:r>
      <w:proofErr w:type="spellEnd"/>
      <w:r w:rsidRPr="00350D40">
        <w:rPr>
          <w:color w:val="FF0000"/>
        </w:rPr>
        <w:t xml:space="preserve"> optimization</w:t>
      </w:r>
      <w:r>
        <w:t xml:space="preserve"> </w:t>
      </w:r>
      <w:r>
        <w:t xml:space="preserve">by stochastic gradient descent on the optimized </w:t>
      </w:r>
      <w:proofErr w:type="spellStart"/>
      <w:r>
        <w:t>variational</w:t>
      </w:r>
      <w:proofErr w:type="spellEnd"/>
      <w:r>
        <w:t xml:space="preserve"> bound (</w:t>
      </w:r>
      <w:proofErr w:type="spellStart"/>
      <w:r>
        <w:t>variational</w:t>
      </w:r>
      <w:proofErr w:type="spellEnd"/>
      <w:r>
        <w:t xml:space="preserve"> EM). </w:t>
      </w:r>
    </w:p>
    <w:p w:rsidR="00350D40" w:rsidRDefault="00350D40" w:rsidP="00350D40">
      <w:pPr>
        <w:adjustRightInd w:val="0"/>
        <w:snapToGrid w:val="0"/>
        <w:ind w:leftChars="472" w:left="991" w:rightChars="310" w:right="651" w:firstLineChars="200" w:firstLine="420"/>
      </w:pPr>
      <w:r>
        <w:rPr>
          <w:noProof/>
        </w:rPr>
        <w:drawing>
          <wp:inline distT="0" distB="0" distL="0" distR="0">
            <wp:extent cx="3672230" cy="591524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451" cy="59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D40" w:rsidRDefault="00350D40" w:rsidP="00350D40">
      <w:pPr>
        <w:adjustRightInd w:val="0"/>
        <w:snapToGrid w:val="0"/>
        <w:ind w:leftChars="472" w:left="991" w:rightChars="310" w:right="651" w:firstLineChars="200" w:firstLine="420"/>
      </w:pPr>
    </w:p>
    <w:p w:rsidR="00350D40" w:rsidRDefault="00350D40" w:rsidP="00350D40">
      <w:pPr>
        <w:adjustRightInd w:val="0"/>
        <w:snapToGrid w:val="0"/>
        <w:ind w:leftChars="472" w:left="991" w:rightChars="310" w:right="651" w:firstLineChars="200" w:firstLine="420"/>
      </w:pPr>
      <w:r w:rsidRPr="00350D40">
        <w:t>GRADIENT-BASED HYPERPARAMETER TUNING VIA VARIATIONAL EM</w:t>
      </w:r>
    </w:p>
    <w:p w:rsidR="00350D40" w:rsidRDefault="00350D40" w:rsidP="00350D40">
      <w:pPr>
        <w:adjustRightInd w:val="0"/>
        <w:snapToGrid w:val="0"/>
        <w:ind w:leftChars="472" w:left="991" w:rightChars="310" w:right="651"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3877056" cy="13765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23" cy="138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D40" w:rsidRDefault="00350D40" w:rsidP="00350D40">
      <w:pPr>
        <w:adjustRightInd w:val="0"/>
        <w:snapToGrid w:val="0"/>
        <w:ind w:leftChars="472" w:left="991" w:rightChars="310" w:right="651" w:firstLineChars="200" w:firstLine="420"/>
        <w:rPr>
          <w:rFonts w:hint="eastAsia"/>
        </w:rPr>
      </w:pPr>
      <w:bookmarkStart w:id="0" w:name="_GoBack"/>
      <w:bookmarkEnd w:id="0"/>
    </w:p>
    <w:p w:rsidR="00FE16C5" w:rsidRPr="00FE16C5" w:rsidRDefault="00FE16C5" w:rsidP="00350D40">
      <w:pPr>
        <w:adjustRightInd w:val="0"/>
        <w:snapToGrid w:val="0"/>
        <w:ind w:leftChars="742" w:left="1558" w:rightChars="580" w:right="1218" w:firstLineChars="200" w:firstLine="360"/>
        <w:rPr>
          <w:sz w:val="18"/>
        </w:rPr>
      </w:pPr>
      <w:r w:rsidRPr="00FE16C5">
        <w:rPr>
          <w:sz w:val="18"/>
        </w:rPr>
        <w:t>Implementing</w:t>
      </w:r>
      <w:r w:rsidRPr="00FE16C5">
        <w:rPr>
          <w:sz w:val="18"/>
        </w:rPr>
        <w:t xml:space="preserve"> </w:t>
      </w:r>
      <w:r w:rsidRPr="00FE16C5">
        <w:rPr>
          <w:sz w:val="18"/>
        </w:rPr>
        <w:t>our methodology in existing models requires only a few lines of additional code, and it does not</w:t>
      </w:r>
      <w:r w:rsidRPr="00FE16C5">
        <w:rPr>
          <w:sz w:val="18"/>
        </w:rPr>
        <w:t xml:space="preserve"> </w:t>
      </w:r>
      <w:r w:rsidRPr="00FE16C5">
        <w:rPr>
          <w:sz w:val="18"/>
        </w:rPr>
        <w:t>increase the computational complexity compared to a non-Bayesian training approach.</w:t>
      </w:r>
      <w:r w:rsidRPr="00FE16C5">
        <w:rPr>
          <w:sz w:val="18"/>
        </w:rPr>
        <w:t xml:space="preserve"> </w:t>
      </w:r>
    </w:p>
    <w:p w:rsidR="00FE16C5" w:rsidRDefault="00FE16C5" w:rsidP="00350D40">
      <w:pPr>
        <w:adjustRightInd w:val="0"/>
        <w:snapToGrid w:val="0"/>
        <w:ind w:firstLine="360"/>
      </w:pPr>
    </w:p>
    <w:p w:rsidR="00350D40" w:rsidRDefault="00350D40" w:rsidP="00350D40">
      <w:pPr>
        <w:adjustRightInd w:val="0"/>
        <w:snapToGrid w:val="0"/>
        <w:ind w:firstLine="360"/>
      </w:pPr>
    </w:p>
    <w:p w:rsidR="00350D40" w:rsidRDefault="00350D40" w:rsidP="00350D40">
      <w:pPr>
        <w:adjustRightInd w:val="0"/>
        <w:snapToGrid w:val="0"/>
        <w:ind w:firstLine="360"/>
        <w:rPr>
          <w:rFonts w:hint="eastAsia"/>
        </w:rPr>
      </w:pPr>
    </w:p>
    <w:p w:rsidR="00FE16C5" w:rsidRDefault="00FE16C5" w:rsidP="00350D40">
      <w:pPr>
        <w:adjustRightInd w:val="0"/>
        <w:snapToGrid w:val="0"/>
        <w:ind w:firstLine="360"/>
      </w:pPr>
      <w:r w:rsidRPr="00FE16C5">
        <w:t xml:space="preserve">We find that the main benefit of the Bayesian approach is that it allows for </w:t>
      </w:r>
    </w:p>
    <w:p w:rsidR="00FE16C5" w:rsidRDefault="00FE16C5" w:rsidP="00350D40">
      <w:pPr>
        <w:adjustRightInd w:val="0"/>
        <w:snapToGrid w:val="0"/>
        <w:ind w:left="780"/>
      </w:pPr>
      <w:proofErr w:type="gramStart"/>
      <w:r w:rsidRPr="00FE16C5">
        <w:t>efficient</w:t>
      </w:r>
      <w:proofErr w:type="gramEnd"/>
      <w:r w:rsidRPr="00FE16C5">
        <w:t xml:space="preserve">, gradient based optimization over </w:t>
      </w:r>
      <w:proofErr w:type="spellStart"/>
      <w:r w:rsidRPr="00FE16C5">
        <w:t>hyperparameters</w:t>
      </w:r>
      <w:proofErr w:type="spellEnd"/>
      <w:r w:rsidRPr="00FE16C5">
        <w:t xml:space="preserve">, which would lead to divergences in a non-Bayesian treatment. </w:t>
      </w:r>
    </w:p>
    <w:p w:rsidR="00FE16C5" w:rsidRDefault="00FE16C5" w:rsidP="00350D40">
      <w:pPr>
        <w:adjustRightInd w:val="0"/>
        <w:snapToGrid w:val="0"/>
      </w:pPr>
    </w:p>
    <w:p w:rsidR="0099783C" w:rsidRPr="00FE16C5" w:rsidRDefault="00FE16C5" w:rsidP="00350D40">
      <w:pPr>
        <w:adjustRightInd w:val="0"/>
        <w:snapToGrid w:val="0"/>
        <w:ind w:firstLine="420"/>
      </w:pPr>
      <w:r w:rsidRPr="00FE16C5">
        <w:t xml:space="preserve">Models with such learned </w:t>
      </w:r>
      <w:proofErr w:type="spellStart"/>
      <w:r w:rsidRPr="00FE16C5">
        <w:t>hyperparameters</w:t>
      </w:r>
      <w:proofErr w:type="spellEnd"/>
      <w:r w:rsidRPr="00FE16C5">
        <w:t xml:space="preserve"> improve over the state-of-the-art by a significant margin, as we demonstrate on several benchmarks.</w:t>
      </w:r>
    </w:p>
    <w:sectPr w:rsidR="0099783C" w:rsidRPr="00FE1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22ABB"/>
    <w:multiLevelType w:val="multilevel"/>
    <w:tmpl w:val="0778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47"/>
    <w:rsid w:val="00240F47"/>
    <w:rsid w:val="002865D8"/>
    <w:rsid w:val="00350D40"/>
    <w:rsid w:val="00386B81"/>
    <w:rsid w:val="003A562D"/>
    <w:rsid w:val="00490E5F"/>
    <w:rsid w:val="007E5ED1"/>
    <w:rsid w:val="00882DE4"/>
    <w:rsid w:val="009B6B66"/>
    <w:rsid w:val="00AF61A7"/>
    <w:rsid w:val="00CD5B88"/>
    <w:rsid w:val="00F93963"/>
    <w:rsid w:val="00FA0FD1"/>
    <w:rsid w:val="00FB09D3"/>
    <w:rsid w:val="00FE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4635"/>
  <w15:chartTrackingRefBased/>
  <w15:docId w15:val="{6F564CB2-A3C7-4335-A666-8DAFC4A4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E16C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E16C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E16C5"/>
    <w:rPr>
      <w:color w:val="0000FF"/>
      <w:u w:val="single"/>
    </w:rPr>
  </w:style>
  <w:style w:type="character" w:customStyle="1" w:styleId="date">
    <w:name w:val="date"/>
    <w:basedOn w:val="a0"/>
    <w:rsid w:val="00FE16C5"/>
  </w:style>
  <w:style w:type="character" w:customStyle="1" w:styleId="item">
    <w:name w:val="item"/>
    <w:basedOn w:val="a0"/>
    <w:rsid w:val="00FE16C5"/>
  </w:style>
  <w:style w:type="character" w:customStyle="1" w:styleId="readers">
    <w:name w:val="readers"/>
    <w:basedOn w:val="a0"/>
    <w:rsid w:val="00FE16C5"/>
  </w:style>
  <w:style w:type="character" w:styleId="a4">
    <w:name w:val="Strong"/>
    <w:basedOn w:val="a0"/>
    <w:uiPriority w:val="22"/>
    <w:qFormat/>
    <w:rsid w:val="00FE16C5"/>
    <w:rPr>
      <w:b/>
      <w:bCs/>
    </w:rPr>
  </w:style>
  <w:style w:type="character" w:customStyle="1" w:styleId="note-content-value">
    <w:name w:val="note-content-value"/>
    <w:basedOn w:val="a0"/>
    <w:rsid w:val="00FE1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3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0673">
          <w:marLeft w:val="0"/>
          <w:marRight w:val="0"/>
          <w:marTop w:val="60"/>
          <w:marBottom w:val="6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review.net/profile?email=stephan.mandt%40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review.net/profile?email=robert.bamler%40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eview.net/profile?email=farnood.salehi%40epfl.ch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openreview.net/pdf?id=rJ4qXnCqFX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openreview.net/group?id=ICLR.cc/2019/Confere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2019-05-31T07:03:00Z</dcterms:created>
  <dcterms:modified xsi:type="dcterms:W3CDTF">2019-05-31T07:19:00Z</dcterms:modified>
</cp:coreProperties>
</file>