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21" w:rsidRDefault="00F22521" w:rsidP="00F22521">
      <w:pPr>
        <w:autoSpaceDE w:val="0"/>
        <w:autoSpaceDN w:val="0"/>
        <w:adjustRightInd w:val="0"/>
        <w:jc w:val="left"/>
        <w:rPr>
          <w:rFonts w:ascii="NimbusRomNo9L-MediItal" w:hAnsi="NimbusRomNo9L-MediItal" w:cs="NimbusRomNo9L-MediItal"/>
          <w:kern w:val="0"/>
          <w:sz w:val="18"/>
          <w:szCs w:val="18"/>
        </w:rPr>
      </w:pPr>
      <w:r>
        <w:rPr>
          <w:rFonts w:ascii="NimbusRomNo9L-MediItal" w:hAnsi="NimbusRomNo9L-MediItal" w:cs="NimbusRomNo9L-MediItal"/>
          <w:noProof/>
          <w:kern w:val="0"/>
          <w:sz w:val="18"/>
          <w:szCs w:val="18"/>
        </w:rPr>
        <w:drawing>
          <wp:inline distT="0" distB="0" distL="0" distR="0">
            <wp:extent cx="5274310" cy="1733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521" w:rsidRDefault="00F22521" w:rsidP="00F22521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Ital" w:hAnsi="NimbusRomNo9L-MediItal" w:cs="NimbusRomNo9L-MediItal"/>
          <w:kern w:val="0"/>
          <w:sz w:val="18"/>
          <w:szCs w:val="18"/>
        </w:rPr>
        <w:t>Abstract</w:t>
      </w:r>
      <w:r>
        <w:rPr>
          <w:rFonts w:ascii="NimbusRomNo9L-Medi" w:hAnsi="NimbusRomNo9L-Medi" w:cs="NimbusRomNo9L-Medi"/>
          <w:kern w:val="0"/>
          <w:sz w:val="18"/>
          <w:szCs w:val="18"/>
        </w:rPr>
        <w:t>—Graph convolutional networks (GCNs) have recently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become one of the most powerful tools for graph analytics tasks in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numerous applications, ranging from social networks and natural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language processing to bioinformatics and chemoinformatics,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thanks to their ability to capture the complex relationships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between concepts. At present, the vast majority of GCNs use a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neighborhood aggregation framework to learn a continuous and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compact vector, then performing a pooling operation to generalize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graph embedding for the classification task. These approaches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have two disadvantages in the graph classification task: </w:t>
      </w:r>
      <w:r>
        <w:rPr>
          <w:rFonts w:ascii="NimbusRomNo9L-Medi" w:hAnsi="NimbusRomNo9L-Medi" w:cs="NimbusRomNo9L-Medi" w:hint="eastAsia"/>
          <w:kern w:val="0"/>
          <w:sz w:val="18"/>
          <w:szCs w:val="18"/>
        </w:rPr>
        <w:t>（</w:t>
      </w:r>
      <w:r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现有</w:t>
      </w:r>
      <w:r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Attention</w:t>
      </w:r>
      <w:r w:rsidRPr="00F22521"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两问题</w:t>
      </w:r>
      <w:r>
        <w:rPr>
          <w:rFonts w:ascii="NimbusRomNo9L-Medi" w:hAnsi="NimbusRomNo9L-Medi" w:cs="NimbusRomNo9L-Medi" w:hint="eastAsia"/>
          <w:kern w:val="0"/>
          <w:sz w:val="18"/>
          <w:szCs w:val="18"/>
        </w:rPr>
        <w:t>）</w:t>
      </w:r>
    </w:p>
    <w:p w:rsidR="00F22521" w:rsidRDefault="00F22521" w:rsidP="00F22521">
      <w:pPr>
        <w:autoSpaceDE w:val="0"/>
        <w:autoSpaceDN w:val="0"/>
        <w:adjustRightInd w:val="0"/>
        <w:ind w:leftChars="203" w:left="991" w:hanging="565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(1)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when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only the largest sub-graph structure (</w:t>
      </w:r>
      <w:r>
        <w:rPr>
          <w:rFonts w:ascii="CMMI9" w:hAnsi="CMMI9" w:cs="CMMI9"/>
          <w:kern w:val="0"/>
          <w:sz w:val="18"/>
          <w:szCs w:val="18"/>
        </w:rPr>
        <w:t>k</w:t>
      </w:r>
      <w:r>
        <w:rPr>
          <w:rFonts w:ascii="NimbusRomNo9L-Medi" w:hAnsi="NimbusRomNo9L-Medi" w:cs="NimbusRomNo9L-Medi"/>
          <w:kern w:val="0"/>
          <w:sz w:val="18"/>
          <w:szCs w:val="18"/>
        </w:rPr>
        <w:t>-hop neighbor) is used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for neighborhood aggregation, a large amount of early-stage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information is lost during the graph convolution step; </w:t>
      </w:r>
      <w:r>
        <w:rPr>
          <w:rFonts w:ascii="NimbusRomNo9L-Medi" w:hAnsi="NimbusRomNo9L-Medi" w:cs="NimbusRomNo9L-Medi" w:hint="eastAsia"/>
          <w:kern w:val="0"/>
          <w:sz w:val="18"/>
          <w:szCs w:val="18"/>
        </w:rPr>
        <w:t>（</w:t>
      </w:r>
      <w:r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早期信息丢失</w:t>
      </w:r>
      <w:r>
        <w:rPr>
          <w:rFonts w:ascii="NimbusRomNo9L-Medi" w:hAnsi="NimbusRomNo9L-Medi" w:cs="NimbusRomNo9L-Medi" w:hint="eastAsia"/>
          <w:kern w:val="0"/>
          <w:sz w:val="18"/>
          <w:szCs w:val="18"/>
        </w:rPr>
        <w:t>）</w:t>
      </w:r>
    </w:p>
    <w:p w:rsidR="00F22521" w:rsidRDefault="00F22521" w:rsidP="00F22521">
      <w:pPr>
        <w:autoSpaceDE w:val="0"/>
        <w:autoSpaceDN w:val="0"/>
        <w:adjustRightInd w:val="0"/>
        <w:ind w:leftChars="203" w:left="991" w:hanging="565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(2) simple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average/sum pooling or max pooling utilized, which loses the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characteristics of each node and the topology between nodes. </w:t>
      </w:r>
      <w:r>
        <w:rPr>
          <w:rFonts w:ascii="NimbusRomNo9L-Medi" w:hAnsi="NimbusRomNo9L-Medi" w:cs="NimbusRomNo9L-Medi" w:hint="eastAsia"/>
          <w:kern w:val="0"/>
          <w:sz w:val="18"/>
          <w:szCs w:val="18"/>
        </w:rPr>
        <w:t>（</w:t>
      </w:r>
      <w:r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简单</w:t>
      </w:r>
      <w:r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Pooling</w:t>
      </w:r>
      <w:r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丢拓扑</w:t>
      </w:r>
      <w:r>
        <w:rPr>
          <w:rFonts w:ascii="NimbusRomNo9L-Medi" w:hAnsi="NimbusRomNo9L-Medi" w:cs="NimbusRomNo9L-Medi" w:hint="eastAsia"/>
          <w:kern w:val="0"/>
          <w:sz w:val="18"/>
          <w:szCs w:val="18"/>
        </w:rPr>
        <w:t>）</w:t>
      </w:r>
    </w:p>
    <w:p w:rsidR="001B1207" w:rsidRDefault="001B1207" w:rsidP="00F22521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</w:p>
    <w:p w:rsidR="00F22521" w:rsidRDefault="001B1207" w:rsidP="00F22521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 w:hint="eastAsia"/>
          <w:kern w:val="0"/>
          <w:sz w:val="18"/>
          <w:szCs w:val="18"/>
        </w:rPr>
        <w:t>【</w:t>
      </w:r>
      <w:r w:rsidRPr="001B1207"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新架构</w:t>
      </w:r>
      <w:r>
        <w:rPr>
          <w:rFonts w:ascii="NimbusRomNo9L-Medi" w:hAnsi="NimbusRomNo9L-Medi" w:cs="NimbusRomNo9L-Medi" w:hint="eastAsia"/>
          <w:kern w:val="0"/>
          <w:sz w:val="18"/>
          <w:szCs w:val="18"/>
        </w:rPr>
        <w:t>】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>dual attention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>graph convolutional networks (</w:t>
      </w:r>
      <w:r w:rsidR="00F22521" w:rsidRPr="00F22521">
        <w:rPr>
          <w:rFonts w:ascii="NimbusRomNo9L-Medi" w:hAnsi="NimbusRomNo9L-Medi" w:cs="NimbusRomNo9L-Medi"/>
          <w:kern w:val="0"/>
          <w:sz w:val="18"/>
          <w:szCs w:val="18"/>
          <w:highlight w:val="yellow"/>
        </w:rPr>
        <w:t>DAGCN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>) to address these problems.</w:t>
      </w:r>
    </w:p>
    <w:p w:rsidR="00F22521" w:rsidRDefault="00172A9A" w:rsidP="00172A9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noProof/>
          <w:kern w:val="0"/>
          <w:sz w:val="18"/>
          <w:szCs w:val="18"/>
        </w:rPr>
        <w:drawing>
          <wp:inline distT="0" distB="0" distL="0" distR="0">
            <wp:extent cx="5266690" cy="12363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9A" w:rsidRDefault="00172A9A" w:rsidP="00172A9A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18"/>
          <w:szCs w:val="18"/>
        </w:rPr>
      </w:pPr>
      <w:r w:rsidRPr="00172A9A">
        <w:rPr>
          <w:rFonts w:ascii="NimbusRomNo9L-Medi" w:hAnsi="NimbusRomNo9L-Medi" w:cs="NimbusRomNo9L-Medi"/>
          <w:kern w:val="0"/>
          <w:sz w:val="18"/>
          <w:szCs w:val="18"/>
        </w:rPr>
        <w:t>Fig. 1. The architecture of the dual attention graph convolution network (DAGCN).</w:t>
      </w:r>
    </w:p>
    <w:p w:rsidR="00172A9A" w:rsidRDefault="00172A9A" w:rsidP="00603D70">
      <w:pPr>
        <w:autoSpaceDE w:val="0"/>
        <w:autoSpaceDN w:val="0"/>
        <w:adjustRightInd w:val="0"/>
        <w:ind w:leftChars="270" w:left="567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 w:rsidRPr="00172A9A">
        <w:rPr>
          <w:rFonts w:ascii="NimbusRomNo9L-Medi" w:hAnsi="NimbusRomNo9L-Medi" w:cs="NimbusRomNo9L-Medi"/>
          <w:kern w:val="0"/>
          <w:sz w:val="18"/>
          <w:szCs w:val="18"/>
        </w:rPr>
        <w:t xml:space="preserve">The model consists of three parts: </w:t>
      </w:r>
    </w:p>
    <w:p w:rsidR="00172A9A" w:rsidRDefault="00172A9A" w:rsidP="00603D70">
      <w:pPr>
        <w:autoSpaceDE w:val="0"/>
        <w:autoSpaceDN w:val="0"/>
        <w:adjustRightInd w:val="0"/>
        <w:ind w:leftChars="473" w:left="1275" w:rightChars="107" w:right="225" w:hanging="282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 w:rsidRPr="00172A9A">
        <w:rPr>
          <w:rFonts w:ascii="NimbusRomNo9L-Medi" w:hAnsi="NimbusRomNo9L-Medi" w:cs="NimbusRomNo9L-Medi"/>
          <w:kern w:val="0"/>
          <w:sz w:val="18"/>
          <w:szCs w:val="18"/>
        </w:rPr>
        <w:t>(1) The left tier is the attention graph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 w:rsidRPr="00172A9A">
        <w:rPr>
          <w:rFonts w:ascii="NimbusRomNo9L-Medi" w:hAnsi="NimbusRomNo9L-Medi" w:cs="NimbusRomNo9L-Medi"/>
          <w:kern w:val="0"/>
          <w:sz w:val="18"/>
          <w:szCs w:val="18"/>
        </w:rPr>
        <w:t xml:space="preserve">convolution module with three AGC layers (m = 3) which learns the hierarchical local substructure features by aggregating the hops of its neighbors. </w:t>
      </w:r>
    </w:p>
    <w:p w:rsidR="00172A9A" w:rsidRDefault="00172A9A" w:rsidP="00603D70">
      <w:pPr>
        <w:autoSpaceDE w:val="0"/>
        <w:autoSpaceDN w:val="0"/>
        <w:adjustRightInd w:val="0"/>
        <w:ind w:leftChars="473" w:left="1275" w:rightChars="107" w:right="225" w:hanging="282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 w:rsidRPr="00172A9A">
        <w:rPr>
          <w:rFonts w:ascii="NimbusRomNo9L-Medi" w:hAnsi="NimbusRomNo9L-Medi" w:cs="NimbusRomNo9L-Medi"/>
          <w:kern w:val="0"/>
          <w:sz w:val="18"/>
          <w:szCs w:val="18"/>
        </w:rPr>
        <w:t>(2)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 w:rsidRPr="00172A9A">
        <w:rPr>
          <w:rFonts w:ascii="NimbusRomNo9L-Medi" w:hAnsi="NimbusRomNo9L-Medi" w:cs="NimbusRomNo9L-Medi"/>
          <w:kern w:val="0"/>
          <w:sz w:val="18"/>
          <w:szCs w:val="18"/>
        </w:rPr>
        <w:t xml:space="preserve">The middle part is the attention pooling layer, the matrix B is the attention coefficient matrix. </w:t>
      </w:r>
    </w:p>
    <w:p w:rsidR="00172A9A" w:rsidRDefault="00172A9A" w:rsidP="00603D70">
      <w:pPr>
        <w:autoSpaceDE w:val="0"/>
        <w:autoSpaceDN w:val="0"/>
        <w:adjustRightInd w:val="0"/>
        <w:ind w:leftChars="473" w:left="1275" w:rightChars="107" w:right="225" w:hanging="282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 w:rsidRPr="00172A9A">
        <w:rPr>
          <w:rFonts w:ascii="NimbusRomNo9L-Medi" w:hAnsi="NimbusRomNo9L-Medi" w:cs="NimbusRomNo9L-Medi"/>
          <w:kern w:val="0"/>
          <w:sz w:val="18"/>
          <w:szCs w:val="18"/>
        </w:rPr>
        <w:t>(3) The final graph embedding matrix M is then sent to a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 w:rsidRPr="00172A9A">
        <w:rPr>
          <w:rFonts w:ascii="NimbusRomNo9L-Medi" w:hAnsi="NimbusRomNo9L-Medi" w:cs="NimbusRomNo9L-Medi"/>
          <w:kern w:val="0"/>
          <w:sz w:val="18"/>
          <w:szCs w:val="18"/>
        </w:rPr>
        <w:t>dense layer for final predictions.</w:t>
      </w:r>
    </w:p>
    <w:p w:rsidR="00603D70" w:rsidRDefault="00603D70" w:rsidP="00603D70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 w:hint="eastAsia"/>
          <w:kern w:val="0"/>
          <w:sz w:val="18"/>
          <w:szCs w:val="18"/>
        </w:rPr>
        <w:t>【</w:t>
      </w:r>
      <w:r w:rsidR="001B1207"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创新</w:t>
      </w:r>
      <w:r w:rsidR="001B1207"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1</w:t>
      </w:r>
      <w:r w:rsidRPr="00F22521">
        <w:rPr>
          <w:rFonts w:ascii="NimbusRomNo9L-Medi" w:hAnsi="NimbusRomNo9L-Medi" w:cs="NimbusRomNo9L-Medi"/>
          <w:color w:val="FF0000"/>
          <w:kern w:val="0"/>
          <w:sz w:val="18"/>
          <w:szCs w:val="18"/>
        </w:rPr>
        <w:t xml:space="preserve"> </w:t>
      </w:r>
      <w:r w:rsidRPr="00F22521"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自动学邻点重要度</w:t>
      </w:r>
      <w:r>
        <w:rPr>
          <w:rFonts w:ascii="NimbusRomNo9L-Medi" w:hAnsi="NimbusRomNo9L-Medi" w:cs="NimbusRomNo9L-Medi" w:hint="eastAsia"/>
          <w:kern w:val="0"/>
          <w:sz w:val="18"/>
          <w:szCs w:val="18"/>
        </w:rPr>
        <w:t>】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DAGCN automatically learns the importance of neighbors at different hops using a novel attention graph convolution layer, and then </w:t>
      </w:r>
    </w:p>
    <w:p w:rsidR="00603D70" w:rsidRDefault="00603D70" w:rsidP="00603D70">
      <w:pPr>
        <w:autoSpaceDE w:val="0"/>
        <w:autoSpaceDN w:val="0"/>
        <w:adjustRightInd w:val="0"/>
        <w:ind w:firstLine="420"/>
        <w:jc w:val="center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noProof/>
          <w:kern w:val="0"/>
          <w:sz w:val="18"/>
          <w:szCs w:val="18"/>
        </w:rPr>
        <w:lastRenderedPageBreak/>
        <w:drawing>
          <wp:inline distT="0" distB="0" distL="0" distR="0">
            <wp:extent cx="2735884" cy="2129721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92" cy="213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70" w:rsidRDefault="00603D70" w:rsidP="00603D70">
      <w:pPr>
        <w:autoSpaceDE w:val="0"/>
        <w:autoSpaceDN w:val="0"/>
        <w:adjustRightInd w:val="0"/>
        <w:ind w:leftChars="607" w:left="1275" w:rightChars="310" w:right="651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16"/>
          <w:szCs w:val="16"/>
        </w:rPr>
        <w:t>Fig. 2. Traditional Graph Convolution Layer (up): Only the final output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16"/>
          <w:szCs w:val="16"/>
        </w:rPr>
        <w:t>which contains the largest sub-structure (k-hop neighbor substructure) is used.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 </w:t>
      </w:r>
    </w:p>
    <w:p w:rsidR="00603D70" w:rsidRDefault="00603D70" w:rsidP="00603D70">
      <w:pPr>
        <w:autoSpaceDE w:val="0"/>
        <w:autoSpaceDN w:val="0"/>
        <w:adjustRightInd w:val="0"/>
        <w:ind w:leftChars="607" w:left="1275" w:rightChars="310" w:right="651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 w:rsidRPr="00603D70">
        <w:rPr>
          <w:rFonts w:ascii="NimbusRomNo9L-Regu" w:hAnsi="NimbusRomNo9L-Regu" w:cs="NimbusRomNo9L-Regu"/>
          <w:color w:val="FF0000"/>
          <w:kern w:val="0"/>
          <w:sz w:val="16"/>
          <w:szCs w:val="16"/>
        </w:rPr>
        <w:t>Attention Graph Convolution Layer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 (down): valuable information is extracted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16"/>
          <w:szCs w:val="16"/>
        </w:rPr>
        <w:t>from every convolution step to generate a hierarchical node representation</w:t>
      </w:r>
    </w:p>
    <w:p w:rsidR="00603D70" w:rsidRDefault="00603D70" w:rsidP="00603D70">
      <w:pPr>
        <w:autoSpaceDE w:val="0"/>
        <w:autoSpaceDN w:val="0"/>
        <w:adjustRightInd w:val="0"/>
        <w:ind w:leftChars="607" w:left="1275" w:rightChars="310" w:right="651"/>
        <w:jc w:val="center"/>
        <w:rPr>
          <w:rFonts w:ascii="NimbusRomNo9L-Medi" w:hAnsi="NimbusRomNo9L-Medi" w:cs="NimbusRomNo9L-Medi" w:hint="eastAsia"/>
          <w:kern w:val="0"/>
          <w:sz w:val="18"/>
          <w:szCs w:val="18"/>
        </w:rPr>
      </w:pPr>
      <w:r>
        <w:rPr>
          <w:rFonts w:ascii="NimbusRomNo9L-Medi" w:hAnsi="NimbusRomNo9L-Medi" w:cs="NimbusRomNo9L-Medi" w:hint="eastAsia"/>
          <w:noProof/>
          <w:kern w:val="0"/>
          <w:sz w:val="18"/>
          <w:szCs w:val="18"/>
        </w:rPr>
        <w:drawing>
          <wp:inline distT="0" distB="0" distL="0" distR="0">
            <wp:extent cx="3116276" cy="1198568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83" cy="12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9A" w:rsidRDefault="00603D70" w:rsidP="00603D70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 w:hint="eastAsia"/>
          <w:kern w:val="0"/>
          <w:sz w:val="18"/>
          <w:szCs w:val="18"/>
        </w:rPr>
        <w:t>【</w:t>
      </w:r>
      <w:r w:rsidR="001B1207"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创新</w:t>
      </w:r>
      <w:r w:rsidR="001B1207"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2</w:t>
      </w:r>
      <w:r w:rsidRPr="00F22521">
        <w:rPr>
          <w:rFonts w:ascii="NimbusRomNo9L-Medi" w:hAnsi="NimbusRomNo9L-Medi" w:cs="NimbusRomNo9L-Medi"/>
          <w:color w:val="FF0000"/>
          <w:kern w:val="0"/>
          <w:sz w:val="18"/>
          <w:szCs w:val="18"/>
        </w:rPr>
        <w:t xml:space="preserve"> selfattention pooling</w:t>
      </w:r>
      <w:r>
        <w:rPr>
          <w:rFonts w:ascii="NimbusRomNo9L-Medi" w:hAnsi="NimbusRomNo9L-Medi" w:cs="NimbusRomNo9L-Medi"/>
          <w:color w:val="FF0000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通用化图表示</w:t>
      </w:r>
      <w:r w:rsidR="001B1207"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，学出不同表示的权重</w:t>
      </w:r>
      <w:bookmarkStart w:id="0" w:name="_GoBack"/>
      <w:bookmarkEnd w:id="0"/>
      <w:r>
        <w:rPr>
          <w:rFonts w:ascii="NimbusRomNo9L-Medi" w:hAnsi="NimbusRomNo9L-Medi" w:cs="NimbusRomNo9L-Medi" w:hint="eastAsia"/>
          <w:kern w:val="0"/>
          <w:sz w:val="18"/>
          <w:szCs w:val="18"/>
        </w:rPr>
        <w:t>】</w:t>
      </w:r>
      <w:r>
        <w:rPr>
          <w:rFonts w:ascii="NimbusRomNo9L-Medi" w:hAnsi="NimbusRomNo9L-Medi" w:cs="NimbusRomNo9L-Medi"/>
          <w:kern w:val="0"/>
          <w:sz w:val="18"/>
          <w:szCs w:val="18"/>
        </w:rPr>
        <w:t>employs a second attention component, a selfattention pooling layer, to generalize the graph representation from the various aspects of a matrix graph embedding.</w:t>
      </w:r>
    </w:p>
    <w:p w:rsidR="00603D70" w:rsidRDefault="00603D70" w:rsidP="00603D70">
      <w:pPr>
        <w:autoSpaceDE w:val="0"/>
        <w:autoSpaceDN w:val="0"/>
        <w:adjustRightInd w:val="0"/>
        <w:ind w:firstLine="420"/>
        <w:jc w:val="center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 w:hint="eastAsia"/>
          <w:noProof/>
          <w:kern w:val="0"/>
          <w:sz w:val="18"/>
          <w:szCs w:val="18"/>
        </w:rPr>
        <w:drawing>
          <wp:inline distT="0" distB="0" distL="0" distR="0">
            <wp:extent cx="2991916" cy="27849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99" cy="279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70" w:rsidRPr="00172A9A" w:rsidRDefault="00603D70" w:rsidP="00603D70">
      <w:pPr>
        <w:autoSpaceDE w:val="0"/>
        <w:autoSpaceDN w:val="0"/>
        <w:adjustRightInd w:val="0"/>
        <w:ind w:firstLine="420"/>
        <w:jc w:val="center"/>
        <w:rPr>
          <w:rFonts w:ascii="NimbusRomNo9L-Medi" w:hAnsi="NimbusRomNo9L-Medi" w:cs="NimbusRomNo9L-Medi" w:hint="eastAsia"/>
          <w:kern w:val="0"/>
          <w:sz w:val="18"/>
          <w:szCs w:val="18"/>
        </w:rPr>
      </w:pPr>
      <w:r>
        <w:rPr>
          <w:rFonts w:ascii="NimbusRomNo9L-Medi" w:hAnsi="NimbusRomNo9L-Medi" w:cs="NimbusRomNo9L-Medi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3072384" cy="21057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21" cy="21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3C" w:rsidRDefault="001B1207" w:rsidP="00F22521">
      <w:pPr>
        <w:autoSpaceDE w:val="0"/>
        <w:autoSpaceDN w:val="0"/>
        <w:adjustRightInd w:val="0"/>
        <w:ind w:firstLine="420"/>
        <w:jc w:val="left"/>
      </w:pPr>
      <w:r>
        <w:rPr>
          <w:rFonts w:ascii="NimbusRomNo9L-Medi" w:hAnsi="NimbusRomNo9L-Medi" w:cs="NimbusRomNo9L-Medi" w:hint="eastAsia"/>
          <w:kern w:val="0"/>
          <w:sz w:val="18"/>
          <w:szCs w:val="18"/>
        </w:rPr>
        <w:t>【</w:t>
      </w:r>
      <w:r w:rsidRPr="001B1207">
        <w:rPr>
          <w:rFonts w:ascii="NimbusRomNo9L-Medi" w:hAnsi="NimbusRomNo9L-Medi" w:cs="NimbusRomNo9L-Medi" w:hint="eastAsia"/>
          <w:color w:val="FF0000"/>
          <w:kern w:val="0"/>
          <w:sz w:val="18"/>
          <w:szCs w:val="18"/>
        </w:rPr>
        <w:t>实验</w:t>
      </w:r>
      <w:r>
        <w:rPr>
          <w:rFonts w:ascii="NimbusRomNo9L-Medi" w:hAnsi="NimbusRomNo9L-Medi" w:cs="NimbusRomNo9L-Medi" w:hint="eastAsia"/>
          <w:kern w:val="0"/>
          <w:sz w:val="18"/>
          <w:szCs w:val="18"/>
        </w:rPr>
        <w:t>】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>The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>dual attention network is trained in an end-to-end manner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>for the graph classification task. We compare our model with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>state-of-the-art graph kernels and other deep learning methods.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>The experimental results show that our framework not only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>outperforms other baselines but also achieves a better rate of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 w:rsidR="00F22521">
        <w:rPr>
          <w:rFonts w:ascii="NimbusRomNo9L-Medi" w:hAnsi="NimbusRomNo9L-Medi" w:cs="NimbusRomNo9L-Medi"/>
          <w:kern w:val="0"/>
          <w:sz w:val="18"/>
          <w:szCs w:val="18"/>
        </w:rPr>
        <w:t>convergence.</w:t>
      </w:r>
    </w:p>
    <w:sectPr w:rsidR="0099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C6B" w:rsidRDefault="00236C6B" w:rsidP="00F22521">
      <w:r>
        <w:separator/>
      </w:r>
    </w:p>
  </w:endnote>
  <w:endnote w:type="continuationSeparator" w:id="0">
    <w:p w:rsidR="00236C6B" w:rsidRDefault="00236C6B" w:rsidP="00F2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C6B" w:rsidRDefault="00236C6B" w:rsidP="00F22521">
      <w:r>
        <w:separator/>
      </w:r>
    </w:p>
  </w:footnote>
  <w:footnote w:type="continuationSeparator" w:id="0">
    <w:p w:rsidR="00236C6B" w:rsidRDefault="00236C6B" w:rsidP="00F22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2C"/>
    <w:rsid w:val="00172A9A"/>
    <w:rsid w:val="001B1207"/>
    <w:rsid w:val="0021452C"/>
    <w:rsid w:val="00236C6B"/>
    <w:rsid w:val="002865D8"/>
    <w:rsid w:val="00386B81"/>
    <w:rsid w:val="003A562D"/>
    <w:rsid w:val="00490E5F"/>
    <w:rsid w:val="00603D70"/>
    <w:rsid w:val="007E5ED1"/>
    <w:rsid w:val="00882DE4"/>
    <w:rsid w:val="009B6B66"/>
    <w:rsid w:val="00AF61A7"/>
    <w:rsid w:val="00CD5B88"/>
    <w:rsid w:val="00F22521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9781F"/>
  <w15:chartTrackingRefBased/>
  <w15:docId w15:val="{3A0EF803-9AF4-43B2-8CBE-712366E3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3</cp:revision>
  <dcterms:created xsi:type="dcterms:W3CDTF">2019-06-04T08:19:00Z</dcterms:created>
  <dcterms:modified xsi:type="dcterms:W3CDTF">2019-06-04T08:44:00Z</dcterms:modified>
</cp:coreProperties>
</file>