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CF" w:rsidRPr="005F321A" w:rsidRDefault="001C16CF" w:rsidP="001C16CF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24292E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4、Dynamically Fused Graph Network for Multi-hop Reasoning（基于</w:t>
      </w: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  <w:shd w:val="clear" w:color="auto" w:fill="FFFFFF"/>
        </w:rPr>
        <w:t>动态融合图网络的</w:t>
      </w: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Multi-hop Reasoning）</w:t>
      </w:r>
    </w:p>
    <w:p w:rsidR="001C16CF" w:rsidRPr="005F321A" w:rsidRDefault="001C16CF" w:rsidP="001C16CF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ACL ’19 </w:t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作者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：Yunxuan Xiao, Yanru Qu, Lin Qiu, Hao Zhou, Lei Li, Weinan Zhang, Yong Yu</w:t>
      </w:r>
    </w:p>
    <w:p w:rsidR="001C16CF" w:rsidRPr="005F321A" w:rsidRDefault="001C16CF" w:rsidP="001C16CF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7"/>
        </w:rPr>
        <w:drawing>
          <wp:inline distT="0" distB="0" distL="0" distR="0" wp14:anchorId="067814F6" wp14:editId="47C8CE8C">
            <wp:extent cx="4197927" cy="13757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23" cy="13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摘要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：近年来，基于文本的问答(</w:t>
      </w:r>
      <w:r w:rsidRPr="001D5280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TBQA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)得到了广泛的研究。大多数现有的方法侧重于在一段话内找到问题的答案。然而，许多有难度的问题需要来自两个或多个文档的</w:t>
      </w:r>
      <w:r w:rsidRPr="001D5280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分散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文本的支持证据。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本文提出了</w:t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DFGN</w:t>
      </w:r>
      <w:r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  <w:t xml:space="preserve"> 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动态融合图网络(Dynamically Fused Graph Network)，这是一种</w:t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ind w:left="420"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解决需要</w:t>
      </w:r>
      <w:r w:rsidRPr="001D5280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多个分散证据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和推理的问题的新方法。</w:t>
      </w:r>
      <w:r w:rsidRPr="001D528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15"/>
          <w:szCs w:val="23"/>
        </w:rPr>
        <w:t>受人类逐步推理行为的启发，</w:t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ind w:left="840"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/>
          <w:b/>
          <w:bCs/>
          <w:noProof/>
          <w:color w:val="333333"/>
          <w:spacing w:val="8"/>
          <w:kern w:val="0"/>
          <w:szCs w:val="23"/>
        </w:rPr>
        <w:drawing>
          <wp:inline distT="0" distB="0" distL="0" distR="0" wp14:anchorId="7DA8BF00" wp14:editId="4DB463A7">
            <wp:extent cx="2125683" cy="2893242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567" cy="289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ind w:left="840"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DFGN包含一个动态融合层，</w:t>
      </w:r>
      <w:r w:rsidRPr="001D5280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从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给定查询中提到的</w:t>
      </w:r>
      <w:r w:rsidRPr="001D5280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实体开始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，</w:t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ind w:left="840"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沿着</w:t>
      </w:r>
      <w:r w:rsidRPr="00CF74FB">
        <w:rPr>
          <w:rFonts w:ascii="Microsoft YaHei UI" w:eastAsia="Microsoft YaHei UI" w:hAnsi="Microsoft YaHei UI" w:cs="宋体" w:hint="eastAsia"/>
          <w:b/>
          <w:bCs/>
          <w:color w:val="000000" w:themeColor="text1"/>
          <w:spacing w:val="8"/>
          <w:kern w:val="0"/>
          <w:szCs w:val="23"/>
        </w:rPr>
        <w:t>文本动态</w:t>
      </w:r>
      <w:r w:rsidRPr="00CF74FB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构建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的</w:t>
      </w:r>
      <w:r w:rsidRPr="001D5280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实体图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进行探索</w:t>
      </w: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 xml:space="preserve">（架构图 </w:t>
      </w:r>
      <w:r w:rsidRPr="00CF74FB">
        <w:rPr>
          <w:rFonts w:ascii="Microsoft YaHei UI" w:eastAsia="Microsoft YaHei UI" w:hAnsi="Microsoft YaHei UI" w:cs="宋体" w:hint="eastAsia"/>
          <w:b/>
          <w:bCs/>
          <w:color w:val="C45911" w:themeColor="accent2" w:themeShade="BF"/>
          <w:spacing w:val="8"/>
          <w:kern w:val="0"/>
          <w:szCs w:val="23"/>
        </w:rPr>
        <w:t>橘色</w:t>
      </w:r>
      <w:r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）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，并</w:t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jc w:val="center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lastRenderedPageBreak/>
        <w:drawing>
          <wp:inline distT="0" distB="0" distL="0" distR="0" wp14:anchorId="1C5FD2DD" wp14:editId="23292FEB">
            <wp:extent cx="2643284" cy="2476904"/>
            <wp:effectExtent l="0" t="0" r="5080" b="0"/>
            <wp:docPr id="7" name="图片 7" descr="https://mmbiz.qpic.cn/mmbiz_png/AefvpgiaIPw1lqxQuntRYTnAmWAjqrLJe3BHPRLRQRZqhEOgmUOHgQzKBOJ20ibwuMhYyokZhumWV8DQicic4Eozw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AefvpgiaIPw1lqxQuntRYTnAmWAjqrLJe3BHPRLRQRZqhEOgmUOHgQzKBOJ20ibwuMhYyokZhumWV8DQicic4Eozw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71" cy="24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CF" w:rsidRPr="00CF74FB" w:rsidRDefault="001C16CF" w:rsidP="001C16CF">
      <w:pPr>
        <w:autoSpaceDE w:val="0"/>
        <w:autoSpaceDN w:val="0"/>
        <w:adjustRightInd w:val="0"/>
        <w:snapToGrid w:val="0"/>
        <w:ind w:leftChars="945" w:left="1984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CF74FB">
        <w:rPr>
          <w:rFonts w:ascii="NimbusRomNo9L-Regu" w:hAnsi="NimbusRomNo9L-Regu" w:cs="NimbusRomNo9L-Regu"/>
          <w:kern w:val="0"/>
          <w:sz w:val="18"/>
          <w:szCs w:val="20"/>
        </w:rPr>
        <w:t xml:space="preserve">Figure 1: Example of multi-hop text-based QA. One question and three document paragraphs are given. Our proposed DFGN conducts multi-step reasoning over the facts by constructing an entity graph from multiple paragraphs, predicting a </w:t>
      </w:r>
      <w:r w:rsidRPr="00CF74FB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>dynamic mask</w:t>
      </w:r>
      <w:r w:rsidRPr="00CF74FB">
        <w:rPr>
          <w:rFonts w:ascii="NimbusRomNo9L-Regu" w:hAnsi="NimbusRomNo9L-Regu" w:cs="NimbusRomNo9L-Regu"/>
          <w:kern w:val="0"/>
          <w:sz w:val="18"/>
          <w:szCs w:val="20"/>
        </w:rPr>
        <w:t xml:space="preserve"> to select a subgraph, propagating information along the graph, and finally transfer the information from the graph back to the text in order to </w:t>
      </w:r>
      <w:r w:rsidRPr="00CF74FB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>localize the answer</w:t>
      </w:r>
      <w:r w:rsidRPr="00CF74FB">
        <w:rPr>
          <w:rFonts w:ascii="NimbusRomNo9L-Regu" w:hAnsi="NimbusRomNo9L-Regu" w:cs="NimbusRomNo9L-Regu"/>
          <w:kern w:val="0"/>
          <w:sz w:val="18"/>
          <w:szCs w:val="20"/>
        </w:rPr>
        <w:t xml:space="preserve">. </w:t>
      </w:r>
    </w:p>
    <w:p w:rsidR="001C16CF" w:rsidRPr="00CF74FB" w:rsidRDefault="001C16CF" w:rsidP="001C16CF">
      <w:pPr>
        <w:autoSpaceDE w:val="0"/>
        <w:autoSpaceDN w:val="0"/>
        <w:adjustRightInd w:val="0"/>
        <w:snapToGrid w:val="0"/>
        <w:ind w:leftChars="945" w:left="1984" w:firstLine="420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CF74FB">
        <w:rPr>
          <w:rFonts w:ascii="NimbusRomNo9L-Regu" w:hAnsi="NimbusRomNo9L-Regu" w:cs="NimbusRomNo9L-Regu"/>
          <w:kern w:val="0"/>
          <w:sz w:val="18"/>
          <w:szCs w:val="20"/>
        </w:rPr>
        <w:t xml:space="preserve">Nodes are entity occurrences, with the </w:t>
      </w:r>
    </w:p>
    <w:p w:rsidR="001C16CF" w:rsidRPr="00CF74FB" w:rsidRDefault="001C16CF" w:rsidP="001C16CF">
      <w:pPr>
        <w:autoSpaceDE w:val="0"/>
        <w:autoSpaceDN w:val="0"/>
        <w:adjustRightInd w:val="0"/>
        <w:snapToGrid w:val="0"/>
        <w:ind w:leftChars="945" w:left="1984" w:firstLine="420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CF74FB">
        <w:rPr>
          <w:rFonts w:ascii="NimbusRomNo9L-Regu" w:hAnsi="NimbusRomNo9L-Regu" w:cs="NimbusRomNo9L-Regu"/>
          <w:kern w:val="0"/>
          <w:sz w:val="18"/>
          <w:szCs w:val="20"/>
        </w:rPr>
        <w:t>color denoting the underlying entity.</w:t>
      </w:r>
    </w:p>
    <w:p w:rsidR="001C16CF" w:rsidRPr="00CF74FB" w:rsidRDefault="001C16CF" w:rsidP="001C16CF">
      <w:pPr>
        <w:autoSpaceDE w:val="0"/>
        <w:autoSpaceDN w:val="0"/>
        <w:adjustRightInd w:val="0"/>
        <w:snapToGrid w:val="0"/>
        <w:ind w:leftChars="945" w:left="1984" w:firstLine="420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CF74FB">
        <w:rPr>
          <w:rFonts w:ascii="NimbusRomNo9L-Regu" w:hAnsi="NimbusRomNo9L-Regu" w:cs="NimbusRomNo9L-Regu"/>
          <w:kern w:val="0"/>
          <w:sz w:val="18"/>
          <w:szCs w:val="20"/>
        </w:rPr>
        <w:t xml:space="preserve">Edges are constructed from co-occurrences. </w:t>
      </w:r>
    </w:p>
    <w:p w:rsidR="001C16CF" w:rsidRDefault="001C16CF" w:rsidP="001C16CF">
      <w:pPr>
        <w:autoSpaceDE w:val="0"/>
        <w:autoSpaceDN w:val="0"/>
        <w:adjustRightInd w:val="0"/>
        <w:snapToGrid w:val="0"/>
        <w:ind w:leftChars="945" w:left="1984" w:firstLine="420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  <w:r w:rsidRPr="00CF74FB">
        <w:rPr>
          <w:rFonts w:ascii="NimbusRomNo9L-Regu" w:hAnsi="NimbusRomNo9L-Regu" w:cs="NimbusRomNo9L-Regu"/>
          <w:kern w:val="0"/>
          <w:sz w:val="18"/>
          <w:szCs w:val="20"/>
        </w:rPr>
        <w:t xml:space="preserve">The </w:t>
      </w:r>
      <w:r w:rsidRPr="00CF74FB">
        <w:rPr>
          <w:rFonts w:ascii="NimbusRomNo9L-Regu" w:hAnsi="NimbusRomNo9L-Regu" w:cs="NimbusRomNo9L-Regu"/>
          <w:color w:val="FF0000"/>
          <w:kern w:val="0"/>
          <w:sz w:val="18"/>
          <w:szCs w:val="20"/>
        </w:rPr>
        <w:t>gray circles</w:t>
      </w:r>
      <w:r w:rsidRPr="00CF74FB">
        <w:rPr>
          <w:rFonts w:ascii="NimbusRomNo9L-Regu" w:hAnsi="NimbusRomNo9L-Regu" w:cs="NimbusRomNo9L-Regu"/>
          <w:kern w:val="0"/>
          <w:sz w:val="18"/>
          <w:szCs w:val="20"/>
        </w:rPr>
        <w:t xml:space="preserve"> are selected by DFGN in each step.</w:t>
      </w:r>
    </w:p>
    <w:p w:rsidR="001C16CF" w:rsidRDefault="001C16CF" w:rsidP="001C16CF">
      <w:pPr>
        <w:autoSpaceDE w:val="0"/>
        <w:autoSpaceDN w:val="0"/>
        <w:adjustRightInd w:val="0"/>
        <w:snapToGrid w:val="0"/>
        <w:ind w:left="1564" w:firstLine="420"/>
        <w:jc w:val="left"/>
        <w:rPr>
          <w:rFonts w:ascii="NimbusRomNo9L-Regu" w:hAnsi="NimbusRomNo9L-Regu" w:cs="NimbusRomNo9L-Regu"/>
          <w:kern w:val="0"/>
          <w:sz w:val="18"/>
          <w:szCs w:val="20"/>
        </w:rPr>
      </w:pPr>
    </w:p>
    <w:p w:rsidR="001C16CF" w:rsidRPr="00CF74FB" w:rsidRDefault="001C16CF" w:rsidP="001C16CF">
      <w:pPr>
        <w:autoSpaceDE w:val="0"/>
        <w:autoSpaceDN w:val="0"/>
        <w:adjustRightInd w:val="0"/>
        <w:snapToGrid w:val="0"/>
        <w:ind w:left="1564" w:firstLine="420"/>
        <w:jc w:val="left"/>
        <w:rPr>
          <w:rFonts w:ascii="NimbusRomNo9L-Regu" w:hAnsi="NimbusRomNo9L-Regu" w:cs="NimbusRomNo9L-Regu" w:hint="eastAsia"/>
          <w:color w:val="2E74B5" w:themeColor="accent1" w:themeShade="BF"/>
          <w:kern w:val="0"/>
          <w:sz w:val="18"/>
          <w:szCs w:val="20"/>
        </w:rPr>
      </w:pPr>
      <w:r w:rsidRPr="00CF74FB">
        <w:rPr>
          <w:rFonts w:ascii="NimbusRomNo9L-Regu" w:hAnsi="NimbusRomNo9L-Regu" w:cs="NimbusRomNo9L-Regu" w:hint="eastAsia"/>
          <w:color w:val="2E74B5" w:themeColor="accent1" w:themeShade="BF"/>
          <w:kern w:val="0"/>
          <w:sz w:val="18"/>
          <w:szCs w:val="20"/>
        </w:rPr>
        <w:t>Fusion</w:t>
      </w:r>
      <w:r w:rsidRPr="00CF74FB">
        <w:rPr>
          <w:rFonts w:ascii="NimbusRomNo9L-Regu" w:hAnsi="NimbusRomNo9L-Regu" w:cs="NimbusRomNo9L-Regu"/>
          <w:color w:val="2E74B5" w:themeColor="accent1" w:themeShade="BF"/>
          <w:kern w:val="0"/>
          <w:sz w:val="18"/>
          <w:szCs w:val="20"/>
        </w:rPr>
        <w:t xml:space="preserve"> </w:t>
      </w:r>
      <w:r w:rsidRPr="00CF74FB">
        <w:rPr>
          <w:rFonts w:ascii="NimbusRomNo9L-Regu" w:hAnsi="NimbusRomNo9L-Regu" w:cs="NimbusRomNo9L-Regu" w:hint="eastAsia"/>
          <w:color w:val="2E74B5" w:themeColor="accent1" w:themeShade="BF"/>
          <w:kern w:val="0"/>
          <w:sz w:val="18"/>
          <w:szCs w:val="20"/>
        </w:rPr>
        <w:t>Block</w:t>
      </w:r>
      <w:r w:rsidRPr="00CF74FB">
        <w:rPr>
          <w:rFonts w:ascii="NimbusRomNo9L-Regu" w:hAnsi="NimbusRomNo9L-Regu" w:cs="NimbusRomNo9L-Regu" w:hint="eastAsia"/>
          <w:color w:val="2E74B5" w:themeColor="accent1" w:themeShade="BF"/>
          <w:kern w:val="0"/>
          <w:sz w:val="18"/>
          <w:szCs w:val="20"/>
        </w:rPr>
        <w:t>（</w:t>
      </w:r>
      <w:r w:rsidRPr="00CF74FB">
        <w:rPr>
          <w:rFonts w:ascii="NimbusRomNo9L-Medi" w:hAnsi="NimbusRomNo9L-Medi" w:cs="NimbusRomNo9L-Medi" w:hint="eastAsia"/>
          <w:color w:val="2E74B5" w:themeColor="accent1" w:themeShade="BF"/>
          <w:kern w:val="0"/>
          <w:sz w:val="22"/>
        </w:rPr>
        <w:t>架构图</w:t>
      </w:r>
      <w:r w:rsidRPr="00CF74FB">
        <w:rPr>
          <w:rFonts w:ascii="NimbusRomNo9L-Medi" w:hAnsi="NimbusRomNo9L-Medi" w:cs="NimbusRomNo9L-Medi" w:hint="eastAsia"/>
          <w:color w:val="2E74B5" w:themeColor="accent1" w:themeShade="BF"/>
          <w:kern w:val="0"/>
          <w:sz w:val="22"/>
        </w:rPr>
        <w:t xml:space="preserve"> </w:t>
      </w:r>
      <w:r w:rsidRPr="00CF74FB">
        <w:rPr>
          <w:rFonts w:ascii="NimbusRomNo9L-Medi" w:hAnsi="NimbusRomNo9L-Medi" w:cs="NimbusRomNo9L-Medi" w:hint="eastAsia"/>
          <w:color w:val="2E74B5" w:themeColor="accent1" w:themeShade="BF"/>
          <w:kern w:val="0"/>
          <w:sz w:val="22"/>
        </w:rPr>
        <w:t>兰块</w:t>
      </w:r>
      <w:r w:rsidRPr="00CF74FB">
        <w:rPr>
          <w:rFonts w:ascii="NimbusRomNo9L-Regu" w:hAnsi="NimbusRomNo9L-Regu" w:cs="NimbusRomNo9L-Regu" w:hint="eastAsia"/>
          <w:color w:val="2E74B5" w:themeColor="accent1" w:themeShade="BF"/>
          <w:kern w:val="0"/>
          <w:sz w:val="18"/>
          <w:szCs w:val="20"/>
        </w:rPr>
        <w:t>）</w:t>
      </w:r>
    </w:p>
    <w:p w:rsidR="001C16CF" w:rsidRPr="00FA6D65" w:rsidRDefault="001C16CF" w:rsidP="001C16CF">
      <w:pPr>
        <w:widowControl/>
        <w:shd w:val="clear" w:color="auto" w:fill="FFFFFF"/>
        <w:adjustRightInd w:val="0"/>
        <w:snapToGrid w:val="0"/>
        <w:ind w:left="1260"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 w:hint="eastAsia"/>
          <w:b/>
          <w:bCs/>
          <w:noProof/>
          <w:color w:val="333333"/>
          <w:spacing w:val="8"/>
          <w:kern w:val="0"/>
          <w:szCs w:val="23"/>
        </w:rPr>
        <w:drawing>
          <wp:inline distT="0" distB="0" distL="0" distR="0" wp14:anchorId="7E2016B8" wp14:editId="30149492">
            <wp:extent cx="3021493" cy="246413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69" cy="246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CF" w:rsidRDefault="001C16CF" w:rsidP="001C16CF">
      <w:pPr>
        <w:widowControl/>
        <w:shd w:val="clear" w:color="auto" w:fill="FFFFFF"/>
        <w:adjustRightInd w:val="0"/>
        <w:snapToGrid w:val="0"/>
        <w:ind w:left="1260"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逐步从给定文档中</w:t>
      </w:r>
      <w:r w:rsidRPr="001D5280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找到相关的支持实体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。</w:t>
      </w:r>
    </w:p>
    <w:p w:rsidR="001C16CF" w:rsidRPr="00CF74FB" w:rsidRDefault="001C16CF" w:rsidP="001C16CF">
      <w:pPr>
        <w:autoSpaceDE w:val="0"/>
        <w:autoSpaceDN w:val="0"/>
        <w:adjustRightInd w:val="0"/>
        <w:ind w:leftChars="877" w:left="1842"/>
        <w:jc w:val="left"/>
        <w:rPr>
          <w:rFonts w:ascii="NimbusRomNo9L-Medi" w:hAnsi="NimbusRomNo9L-Medi" w:cs="NimbusRomNo9L-Medi"/>
          <w:color w:val="00B050"/>
          <w:kern w:val="0"/>
          <w:sz w:val="22"/>
        </w:rPr>
      </w:pPr>
      <w:r w:rsidRPr="00CF74FB">
        <w:rPr>
          <w:rFonts w:ascii="NimbusRomNo9L-Medi" w:hAnsi="NimbusRomNo9L-Medi" w:cs="NimbusRomNo9L-Medi"/>
          <w:color w:val="00B050"/>
          <w:kern w:val="0"/>
          <w:sz w:val="22"/>
        </w:rPr>
        <w:t>3.5 Prediction</w:t>
      </w:r>
      <w:r w:rsidRPr="00CF74FB">
        <w:rPr>
          <w:rFonts w:ascii="NimbusRomNo9L-Medi" w:hAnsi="NimbusRomNo9L-Medi" w:cs="NimbusRomNo9L-Medi" w:hint="eastAsia"/>
          <w:color w:val="00B050"/>
          <w:kern w:val="0"/>
          <w:sz w:val="22"/>
        </w:rPr>
        <w:t>（基于</w:t>
      </w:r>
      <w:r w:rsidRPr="00CF74FB">
        <w:rPr>
          <w:rFonts w:ascii="NimbusRomNo9L-Medi" w:hAnsi="NimbusRomNo9L-Medi" w:cs="NimbusRomNo9L-Medi" w:hint="eastAsia"/>
          <w:color w:val="00B050"/>
          <w:kern w:val="0"/>
          <w:sz w:val="22"/>
        </w:rPr>
        <w:t>L</w:t>
      </w:r>
      <w:r w:rsidRPr="00CF74FB">
        <w:rPr>
          <w:rFonts w:ascii="NimbusRomNo9L-Medi" w:hAnsi="NimbusRomNo9L-Medi" w:cs="NimbusRomNo9L-Medi"/>
          <w:color w:val="00B050"/>
          <w:kern w:val="0"/>
          <w:sz w:val="22"/>
        </w:rPr>
        <w:t>STM</w:t>
      </w:r>
      <w:r w:rsidRPr="00CF74FB">
        <w:rPr>
          <w:rFonts w:ascii="NimbusRomNo9L-Medi" w:hAnsi="NimbusRomNo9L-Medi" w:cs="NimbusRomNo9L-Medi" w:hint="eastAsia"/>
          <w:color w:val="00B050"/>
          <w:kern w:val="0"/>
          <w:sz w:val="22"/>
        </w:rPr>
        <w:t>，</w:t>
      </w:r>
      <w:r w:rsidRPr="00CF74FB">
        <w:rPr>
          <w:rFonts w:ascii="NimbusRomNo9L-Medi" w:hAnsi="NimbusRomNo9L-Medi" w:cs="NimbusRomNo9L-Medi"/>
          <w:color w:val="00B050"/>
          <w:kern w:val="0"/>
          <w:sz w:val="22"/>
        </w:rPr>
        <w:t xml:space="preserve"> </w:t>
      </w:r>
      <w:r w:rsidRPr="00CF74FB">
        <w:rPr>
          <w:rFonts w:ascii="NimbusRomNo9L-Medi" w:hAnsi="NimbusRomNo9L-Medi" w:cs="NimbusRomNo9L-Medi" w:hint="eastAsia"/>
          <w:color w:val="00B050"/>
          <w:kern w:val="0"/>
          <w:sz w:val="22"/>
        </w:rPr>
        <w:t>架构图绿块）</w:t>
      </w:r>
    </w:p>
    <w:p w:rsidR="001C16CF" w:rsidRDefault="001C16CF" w:rsidP="001C16CF">
      <w:pPr>
        <w:autoSpaceDE w:val="0"/>
        <w:autoSpaceDN w:val="0"/>
        <w:adjustRightInd w:val="0"/>
        <w:ind w:leftChars="877" w:left="1842" w:firstLine="258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We follow the same structure of prediction layers as (</w:t>
      </w:r>
      <w:r>
        <w:rPr>
          <w:rFonts w:ascii="NimbusRomNo9L-Regu" w:hAnsi="NimbusRomNo9L-Regu" w:cs="NimbusRomNo9L-Regu"/>
          <w:color w:val="000080"/>
          <w:kern w:val="0"/>
          <w:sz w:val="22"/>
        </w:rPr>
        <w:t>Yang et al.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, </w:t>
      </w:r>
      <w:r>
        <w:rPr>
          <w:rFonts w:ascii="NimbusRomNo9L-Regu" w:hAnsi="NimbusRomNo9L-Regu" w:cs="NimbusRomNo9L-Regu"/>
          <w:color w:val="000080"/>
          <w:kern w:val="0"/>
          <w:sz w:val="22"/>
        </w:rPr>
        <w:t>2018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). The framework has four output dimensions, including </w:t>
      </w:r>
    </w:p>
    <w:p w:rsidR="001C16CF" w:rsidRDefault="001C16CF" w:rsidP="001C16CF">
      <w:pPr>
        <w:autoSpaceDE w:val="0"/>
        <w:autoSpaceDN w:val="0"/>
        <w:adjustRightInd w:val="0"/>
        <w:ind w:leftChars="1076" w:left="2260" w:firstLine="258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1. supporting sentences,</w:t>
      </w:r>
    </w:p>
    <w:p w:rsidR="001C16CF" w:rsidRDefault="001C16CF" w:rsidP="001C16CF">
      <w:pPr>
        <w:autoSpaceDE w:val="0"/>
        <w:autoSpaceDN w:val="0"/>
        <w:adjustRightInd w:val="0"/>
        <w:ind w:leftChars="1076" w:left="2260" w:firstLine="258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2. the start position of the answer, </w:t>
      </w:r>
    </w:p>
    <w:p w:rsidR="001C16CF" w:rsidRDefault="001C16CF" w:rsidP="001C16CF">
      <w:pPr>
        <w:autoSpaceDE w:val="0"/>
        <w:autoSpaceDN w:val="0"/>
        <w:adjustRightInd w:val="0"/>
        <w:ind w:leftChars="1076" w:left="2260" w:firstLine="258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3. the end position of the answer, and </w:t>
      </w:r>
    </w:p>
    <w:p w:rsidR="001C16CF" w:rsidRDefault="001C16CF" w:rsidP="001C16CF">
      <w:pPr>
        <w:autoSpaceDE w:val="0"/>
        <w:autoSpaceDN w:val="0"/>
        <w:adjustRightInd w:val="0"/>
        <w:ind w:leftChars="1076" w:left="2260" w:firstLine="258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4. the answer type.</w:t>
      </w:r>
    </w:p>
    <w:p w:rsidR="001C16CF" w:rsidRDefault="001C16CF" w:rsidP="001C16CF">
      <w:pPr>
        <w:autoSpaceDE w:val="0"/>
        <w:autoSpaceDN w:val="0"/>
        <w:adjustRightInd w:val="0"/>
        <w:ind w:leftChars="877" w:left="1842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We use a cascade structure to solve the output dependency, where four isomorphic LSTMs </w:t>
      </w:r>
      <w:r>
        <w:rPr>
          <w:rFonts w:ascii="CMSY10" w:hAnsi="CMSY10" w:cs="CMSY10"/>
          <w:color w:val="000000"/>
          <w:kern w:val="0"/>
          <w:sz w:val="22"/>
        </w:rPr>
        <w:t>F</w:t>
      </w:r>
      <w:r>
        <w:rPr>
          <w:rFonts w:ascii="CMMI8" w:hAnsi="CMMI8" w:cs="CMMI8"/>
          <w:color w:val="000000"/>
          <w:kern w:val="0"/>
          <w:sz w:val="16"/>
          <w:szCs w:val="16"/>
        </w:rPr>
        <w:t xml:space="preserve">i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are stacked layer by layer. The context representation of the last fusion block is sent to the first LSTM </w:t>
      </w:r>
      <w:r>
        <w:rPr>
          <w:rFonts w:ascii="CMSY10" w:hAnsi="CMSY10" w:cs="CMSY10"/>
          <w:color w:val="000000"/>
          <w:kern w:val="0"/>
          <w:sz w:val="22"/>
        </w:rPr>
        <w:t>F</w:t>
      </w:r>
      <w:r>
        <w:rPr>
          <w:rFonts w:ascii="CMR8" w:hAnsi="CMR8" w:cs="CMR8"/>
          <w:color w:val="000000"/>
          <w:kern w:val="0"/>
          <w:sz w:val="16"/>
          <w:szCs w:val="16"/>
        </w:rPr>
        <w:t>0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. Each </w:t>
      </w:r>
      <w:r>
        <w:rPr>
          <w:rFonts w:ascii="CMSY10" w:hAnsi="CMSY10" w:cs="CMSY10"/>
          <w:color w:val="000000"/>
          <w:kern w:val="0"/>
          <w:sz w:val="22"/>
        </w:rPr>
        <w:t>F</w:t>
      </w:r>
      <w:r>
        <w:rPr>
          <w:rFonts w:ascii="CMMI8" w:hAnsi="CMMI8" w:cs="CMMI8"/>
          <w:color w:val="000000"/>
          <w:kern w:val="0"/>
          <w:sz w:val="16"/>
          <w:szCs w:val="16"/>
        </w:rPr>
        <w:t xml:space="preserve">i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outputs a logit</w:t>
      </w:r>
      <w:r>
        <w:rPr>
          <w:rFonts w:ascii="CMBX10" w:hAnsi="CMBX10" w:cs="CMBX10"/>
          <w:color w:val="000000"/>
          <w:kern w:val="0"/>
          <w:sz w:val="22"/>
        </w:rPr>
        <w:t xml:space="preserve">O </w:t>
      </w:r>
      <w:r>
        <w:rPr>
          <w:rFonts w:ascii="CMSY10" w:hAnsi="CMSY10" w:cs="CMSY10"/>
          <w:color w:val="000000"/>
          <w:kern w:val="0"/>
          <w:sz w:val="22"/>
        </w:rPr>
        <w:t xml:space="preserve">2 </w:t>
      </w:r>
      <w:r>
        <w:rPr>
          <w:rFonts w:ascii="MSBM10" w:hAnsi="MSBM10" w:cs="MSBM10"/>
          <w:color w:val="000000"/>
          <w:kern w:val="0"/>
          <w:sz w:val="22"/>
        </w:rPr>
        <w:t>R</w:t>
      </w:r>
      <w:r>
        <w:rPr>
          <w:rFonts w:ascii="CMMI8" w:hAnsi="CMMI8" w:cs="CMMI8"/>
          <w:color w:val="000000"/>
          <w:kern w:val="0"/>
          <w:sz w:val="16"/>
          <w:szCs w:val="16"/>
        </w:rPr>
        <w:t>M</w:t>
      </w:r>
      <w:r>
        <w:rPr>
          <w:rFonts w:ascii="CMSY8" w:hAnsi="CMSY8" w:cs="CMSY8"/>
          <w:color w:val="000000"/>
          <w:kern w:val="0"/>
          <w:sz w:val="16"/>
          <w:szCs w:val="16"/>
        </w:rPr>
        <w:t>_</w:t>
      </w:r>
      <w:r>
        <w:rPr>
          <w:rFonts w:ascii="CMMI8" w:hAnsi="CMMI8" w:cs="CMMI8"/>
          <w:color w:val="000000"/>
          <w:kern w:val="0"/>
          <w:sz w:val="16"/>
          <w:szCs w:val="16"/>
        </w:rPr>
        <w:t>d</w:t>
      </w:r>
      <w:r>
        <w:rPr>
          <w:rFonts w:ascii="CMR6" w:hAnsi="CMR6" w:cs="CMR6"/>
          <w:color w:val="000000"/>
          <w:kern w:val="0"/>
          <w:sz w:val="12"/>
          <w:szCs w:val="12"/>
        </w:rPr>
        <w:t xml:space="preserve">2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and computes a cross entropy loss over these </w:t>
      </w:r>
      <w:r>
        <w:rPr>
          <w:rFonts w:ascii="NimbusRomNo9L-Regu" w:hAnsi="NimbusRomNo9L-Regu" w:cs="NimbusRomNo9L-Regu"/>
          <w:color w:val="000000"/>
          <w:kern w:val="0"/>
          <w:sz w:val="22"/>
        </w:rPr>
        <w:lastRenderedPageBreak/>
        <w:t>logits.</w:t>
      </w:r>
    </w:p>
    <w:p w:rsidR="001C16CF" w:rsidRDefault="001C16CF" w:rsidP="001C16CF">
      <w:pPr>
        <w:autoSpaceDE w:val="0"/>
        <w:autoSpaceDN w:val="0"/>
        <w:adjustRightInd w:val="0"/>
        <w:ind w:leftChars="877" w:left="1842"/>
        <w:jc w:val="center"/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</w:pPr>
      <w:r>
        <w:rPr>
          <w:rFonts w:ascii="Microsoft YaHei UI" w:eastAsia="Microsoft YaHei UI" w:hAnsi="Microsoft YaHei UI" w:cs="宋体" w:hint="eastAsia"/>
          <w:b/>
          <w:bCs/>
          <w:noProof/>
          <w:color w:val="333333"/>
          <w:spacing w:val="8"/>
          <w:kern w:val="0"/>
          <w:szCs w:val="23"/>
        </w:rPr>
        <w:drawing>
          <wp:inline distT="0" distB="0" distL="0" distR="0" wp14:anchorId="2094651B" wp14:editId="77F77BE5">
            <wp:extent cx="2547257" cy="156842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75" cy="1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CF" w:rsidRPr="005F321A" w:rsidRDefault="001C16CF" w:rsidP="001C16CF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我们在需要multi-hop reasoning的公共TBQA数据集HotpotQA上评估了DFGN。DFGN在公共数据集上取得了有竞争力的成绩。此外，我们的分析表明，DFGN可以产生</w:t>
      </w:r>
      <w:r w:rsidRPr="001D5280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可解释的推理链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。</w:t>
      </w:r>
    </w:p>
    <w:p w:rsidR="001C16CF" w:rsidRPr="005F321A" w:rsidRDefault="001C16CF" w:rsidP="001C16CF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:rsidR="001C16CF" w:rsidRPr="005F321A" w:rsidRDefault="001C16CF" w:rsidP="001C16CF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网址</w:t>
      </w:r>
      <w:r w:rsidRPr="005F321A"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3"/>
        </w:rPr>
        <w:t>：</w:t>
      </w:r>
    </w:p>
    <w:p w:rsidR="001C16CF" w:rsidRPr="005F321A" w:rsidRDefault="001C16CF" w:rsidP="001C16CF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t>https://arxiv.org/abs/1905.06933</w:t>
      </w:r>
    </w:p>
    <w:p w:rsidR="0099783C" w:rsidRPr="001C16CF" w:rsidRDefault="00B958D6">
      <w:bookmarkStart w:id="0" w:name="_GoBack"/>
      <w:bookmarkEnd w:id="0"/>
    </w:p>
    <w:sectPr w:rsidR="0099783C" w:rsidRPr="001C1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8D6" w:rsidRDefault="00B958D6" w:rsidP="001C16CF">
      <w:r>
        <w:separator/>
      </w:r>
    </w:p>
  </w:endnote>
  <w:endnote w:type="continuationSeparator" w:id="0">
    <w:p w:rsidR="00B958D6" w:rsidRDefault="00B958D6" w:rsidP="001C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8D6" w:rsidRDefault="00B958D6" w:rsidP="001C16CF">
      <w:r>
        <w:separator/>
      </w:r>
    </w:p>
  </w:footnote>
  <w:footnote w:type="continuationSeparator" w:id="0">
    <w:p w:rsidR="00B958D6" w:rsidRDefault="00B958D6" w:rsidP="001C1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1A"/>
    <w:rsid w:val="001C16CF"/>
    <w:rsid w:val="002865D8"/>
    <w:rsid w:val="00386B81"/>
    <w:rsid w:val="003A562D"/>
    <w:rsid w:val="00490E5F"/>
    <w:rsid w:val="00582D1A"/>
    <w:rsid w:val="007E5ED1"/>
    <w:rsid w:val="00882DE4"/>
    <w:rsid w:val="009B6B66"/>
    <w:rsid w:val="00AF61A7"/>
    <w:rsid w:val="00B958D6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7FA62-C5BF-4163-8AD6-E1C684FE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2019-06-19T07:16:00Z</dcterms:created>
  <dcterms:modified xsi:type="dcterms:W3CDTF">2019-06-19T07:18:00Z</dcterms:modified>
</cp:coreProperties>
</file>